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5D" w:rsidRDefault="00F23C5D" w:rsidP="00F23C5D">
      <w:pPr>
        <w:pStyle w:val="NormalWeb"/>
      </w:pPr>
      <w:r>
        <w:t>Light microscopy</w:t>
      </w:r>
    </w:p>
    <w:p w:rsidR="00F23C5D" w:rsidRDefault="00F23C5D" w:rsidP="00F23C5D">
      <w:hyperlink r:id="rId5" w:anchor="immunoperoxidase" w:history="1">
        <w:proofErr w:type="spellStart"/>
        <w:r>
          <w:rPr>
            <w:rStyle w:val="Hyperlink"/>
          </w:rPr>
          <w:t>Immunoperoxidase</w:t>
        </w:r>
        <w:proofErr w:type="spellEnd"/>
        <w:r>
          <w:rPr>
            <w:rStyle w:val="Hyperlink"/>
          </w:rPr>
          <w:t xml:space="preserve"> - using </w:t>
        </w:r>
        <w:proofErr w:type="spellStart"/>
        <w:r>
          <w:rPr>
            <w:rStyle w:val="Hyperlink"/>
          </w:rPr>
          <w:t>immunon</w:t>
        </w:r>
        <w:proofErr w:type="spellEnd"/>
        <w:r>
          <w:rPr>
            <w:rStyle w:val="Hyperlink"/>
          </w:rPr>
          <w:t xml:space="preserve"> </w:t>
        </w:r>
        <w:proofErr w:type="spellStart"/>
        <w:r>
          <w:rPr>
            <w:rStyle w:val="Hyperlink"/>
          </w:rPr>
          <w:t>sequenza</w:t>
        </w:r>
        <w:proofErr w:type="spellEnd"/>
        <w:r>
          <w:rPr>
            <w:rStyle w:val="Hyperlink"/>
          </w:rPr>
          <w:t xml:space="preserve"> </w:t>
        </w:r>
        <w:proofErr w:type="spellStart"/>
        <w:r>
          <w:rPr>
            <w:rStyle w:val="Hyperlink"/>
          </w:rPr>
          <w:t>coverplate</w:t>
        </w:r>
        <w:proofErr w:type="spellEnd"/>
        <w:r>
          <w:rPr>
            <w:rStyle w:val="Hyperlink"/>
          </w:rPr>
          <w:t xml:space="preserve"> technique</w:t>
        </w:r>
      </w:hyperlink>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F23C5D" w:rsidTr="00F23C5D">
        <w:trPr>
          <w:trHeight w:val="420"/>
          <w:tblCellSpacing w:w="15" w:type="dxa"/>
        </w:trPr>
        <w:tc>
          <w:tcPr>
            <w:tcW w:w="5000" w:type="pct"/>
            <w:vAlign w:val="center"/>
            <w:hideMark/>
          </w:tcPr>
          <w:p w:rsidR="00F23C5D" w:rsidRDefault="00F23C5D">
            <w:pPr>
              <w:jc w:val="center"/>
              <w:rPr>
                <w:b/>
                <w:bCs/>
              </w:rPr>
            </w:pPr>
            <w:bookmarkStart w:id="0" w:name="immunoperoxidase"/>
            <w:proofErr w:type="spellStart"/>
            <w:r>
              <w:rPr>
                <w:b/>
                <w:bCs/>
              </w:rPr>
              <w:t>Immunoperoxidase</w:t>
            </w:r>
            <w:proofErr w:type="spellEnd"/>
            <w:r>
              <w:rPr>
                <w:b/>
                <w:bCs/>
              </w:rPr>
              <w:t xml:space="preserve"> - using </w:t>
            </w:r>
            <w:proofErr w:type="spellStart"/>
            <w:r>
              <w:rPr>
                <w:b/>
                <w:bCs/>
              </w:rPr>
              <w:t>immunon</w:t>
            </w:r>
            <w:proofErr w:type="spellEnd"/>
            <w:r>
              <w:rPr>
                <w:b/>
                <w:bCs/>
              </w:rPr>
              <w:t xml:space="preserve"> </w:t>
            </w:r>
            <w:proofErr w:type="spellStart"/>
            <w:r>
              <w:rPr>
                <w:b/>
                <w:bCs/>
              </w:rPr>
              <w:t>sequenza</w:t>
            </w:r>
            <w:proofErr w:type="spellEnd"/>
            <w:r>
              <w:rPr>
                <w:b/>
                <w:bCs/>
              </w:rPr>
              <w:t xml:space="preserve"> </w:t>
            </w:r>
            <w:proofErr w:type="spellStart"/>
            <w:r>
              <w:rPr>
                <w:b/>
                <w:bCs/>
              </w:rPr>
              <w:t>coverplate</w:t>
            </w:r>
            <w:proofErr w:type="spellEnd"/>
            <w:r>
              <w:rPr>
                <w:b/>
                <w:bCs/>
              </w:rPr>
              <w:t xml:space="preserve"> technique</w:t>
            </w:r>
            <w:bookmarkEnd w:id="0"/>
          </w:p>
        </w:tc>
      </w:tr>
    </w:tbl>
    <w:p w:rsidR="00F23C5D" w:rsidRDefault="00F23C5D" w:rsidP="00F23C5D">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23C5D" w:rsidTr="00F23C5D">
        <w:trPr>
          <w:trHeight w:val="375"/>
          <w:tblCellSpacing w:w="15" w:type="dxa"/>
        </w:trPr>
        <w:tc>
          <w:tcPr>
            <w:tcW w:w="1250" w:type="pct"/>
            <w:vAlign w:val="center"/>
            <w:hideMark/>
          </w:tcPr>
          <w:p w:rsidR="00F23C5D" w:rsidRDefault="00F23C5D">
            <w:r>
              <w:t>Sample type</w:t>
            </w:r>
          </w:p>
        </w:tc>
        <w:tc>
          <w:tcPr>
            <w:tcW w:w="3750" w:type="pct"/>
            <w:vAlign w:val="center"/>
            <w:hideMark/>
          </w:tcPr>
          <w:p w:rsidR="00F23C5D" w:rsidRDefault="00F23C5D">
            <w:r>
              <w:t>Paraffin sections on glass slides</w:t>
            </w:r>
          </w:p>
        </w:tc>
      </w:tr>
      <w:tr w:rsidR="00F23C5D" w:rsidTr="00F23C5D">
        <w:trPr>
          <w:trHeight w:val="375"/>
          <w:tblCellSpacing w:w="15" w:type="dxa"/>
        </w:trPr>
        <w:tc>
          <w:tcPr>
            <w:tcW w:w="0" w:type="auto"/>
            <w:vAlign w:val="center"/>
            <w:hideMark/>
          </w:tcPr>
          <w:p w:rsidR="00F23C5D" w:rsidRDefault="00F23C5D">
            <w:r>
              <w:t>Application</w:t>
            </w:r>
          </w:p>
        </w:tc>
        <w:tc>
          <w:tcPr>
            <w:tcW w:w="0" w:type="auto"/>
            <w:vAlign w:val="center"/>
            <w:hideMark/>
          </w:tcPr>
          <w:p w:rsidR="00F23C5D" w:rsidRDefault="00F23C5D">
            <w:r>
              <w:t>Immunohistochemistry</w:t>
            </w:r>
          </w:p>
        </w:tc>
      </w:tr>
      <w:tr w:rsidR="00F23C5D" w:rsidTr="00F23C5D">
        <w:trPr>
          <w:trHeight w:val="375"/>
          <w:tblCellSpacing w:w="15" w:type="dxa"/>
        </w:trPr>
        <w:tc>
          <w:tcPr>
            <w:tcW w:w="0" w:type="auto"/>
            <w:vAlign w:val="center"/>
            <w:hideMark/>
          </w:tcPr>
          <w:p w:rsidR="00F23C5D" w:rsidRDefault="00F23C5D">
            <w:r>
              <w:t>Specimen(s)</w:t>
            </w:r>
          </w:p>
        </w:tc>
        <w:tc>
          <w:tcPr>
            <w:tcW w:w="0" w:type="auto"/>
            <w:vAlign w:val="center"/>
            <w:hideMark/>
          </w:tcPr>
          <w:p w:rsidR="00F23C5D" w:rsidRDefault="00F23C5D">
            <w:r>
              <w:t xml:space="preserve">Routine formalin or "prefer" fixed paraffin embedded tissue sections mounted on poly-1-lysine coated (positively charged) slides and dried at 55°C for 1 hour. </w:t>
            </w:r>
          </w:p>
        </w:tc>
      </w:tr>
      <w:tr w:rsidR="00F23C5D" w:rsidTr="00F23C5D">
        <w:trPr>
          <w:trHeight w:val="375"/>
          <w:tblCellSpacing w:w="15" w:type="dxa"/>
        </w:trPr>
        <w:tc>
          <w:tcPr>
            <w:tcW w:w="0" w:type="auto"/>
            <w:vAlign w:val="center"/>
            <w:hideMark/>
          </w:tcPr>
          <w:p w:rsidR="00F23C5D" w:rsidRDefault="00F23C5D">
            <w:r>
              <w:t>Submitted by</w:t>
            </w:r>
          </w:p>
        </w:tc>
        <w:tc>
          <w:tcPr>
            <w:tcW w:w="0" w:type="auto"/>
            <w:vAlign w:val="center"/>
            <w:hideMark/>
          </w:tcPr>
          <w:p w:rsidR="00F23C5D" w:rsidRDefault="00F23C5D">
            <w:hyperlink r:id="rId6" w:history="1">
              <w:r>
                <w:rPr>
                  <w:rStyle w:val="Hyperlink"/>
                </w:rPr>
                <w:t xml:space="preserve">Rick </w:t>
              </w:r>
              <w:proofErr w:type="spellStart"/>
              <w:r>
                <w:rPr>
                  <w:rStyle w:val="Hyperlink"/>
                </w:rPr>
                <w:t>Giberson</w:t>
              </w:r>
              <w:proofErr w:type="spellEnd"/>
            </w:hyperlink>
            <w:r>
              <w:t xml:space="preserve">, </w:t>
            </w:r>
            <w:hyperlink r:id="rId7" w:history="1">
              <w:r>
                <w:rPr>
                  <w:rStyle w:val="Hyperlink"/>
                </w:rPr>
                <w:t>Ted Pella, Inc.</w:t>
              </w:r>
            </w:hyperlink>
            <w:r>
              <w:t xml:space="preserve"> and Bruce </w:t>
            </w:r>
            <w:proofErr w:type="spellStart"/>
            <w:r>
              <w:t>Caukins</w:t>
            </w:r>
            <w:proofErr w:type="spellEnd"/>
            <w:r>
              <w:t xml:space="preserve">, formerly with Pathology Sciences Medical Group, Chico, CA </w:t>
            </w:r>
          </w:p>
        </w:tc>
      </w:tr>
      <w:tr w:rsidR="00F23C5D" w:rsidTr="00F23C5D">
        <w:trPr>
          <w:trHeight w:val="375"/>
          <w:tblCellSpacing w:w="15" w:type="dxa"/>
        </w:trPr>
        <w:tc>
          <w:tcPr>
            <w:tcW w:w="0" w:type="auto"/>
            <w:vAlign w:val="center"/>
            <w:hideMark/>
          </w:tcPr>
          <w:p w:rsidR="00F23C5D" w:rsidRDefault="00F23C5D">
            <w:r>
              <w:t>Instrument used</w:t>
            </w:r>
          </w:p>
        </w:tc>
        <w:tc>
          <w:tcPr>
            <w:tcW w:w="0" w:type="auto"/>
            <w:vAlign w:val="center"/>
            <w:hideMark/>
          </w:tcPr>
          <w:p w:rsidR="00F23C5D" w:rsidRDefault="00F23C5D">
            <w:proofErr w:type="spellStart"/>
            <w:r>
              <w:t>BioWave</w:t>
            </w:r>
            <w:proofErr w:type="spellEnd"/>
            <w:r>
              <w:t xml:space="preserve">™, Ted Pella, Inc. Microwave system with PELCO </w:t>
            </w:r>
            <w:proofErr w:type="spellStart"/>
            <w:r>
              <w:t>ColdSpot</w:t>
            </w:r>
            <w:proofErr w:type="spellEnd"/>
            <w:r>
              <w:t>®, vacuum chamber, and variable wattage.</w:t>
            </w:r>
          </w:p>
        </w:tc>
      </w:tr>
      <w:tr w:rsidR="00F23C5D" w:rsidTr="00F23C5D">
        <w:trPr>
          <w:trHeight w:val="375"/>
          <w:tblCellSpacing w:w="15" w:type="dxa"/>
        </w:trPr>
        <w:tc>
          <w:tcPr>
            <w:tcW w:w="0" w:type="auto"/>
            <w:vAlign w:val="center"/>
            <w:hideMark/>
          </w:tcPr>
          <w:p w:rsidR="00F23C5D" w:rsidRDefault="00F23C5D">
            <w:r>
              <w:t>Sample size</w:t>
            </w:r>
          </w:p>
        </w:tc>
        <w:tc>
          <w:tcPr>
            <w:tcW w:w="0" w:type="auto"/>
            <w:vAlign w:val="center"/>
            <w:hideMark/>
          </w:tcPr>
          <w:p w:rsidR="00F23C5D" w:rsidRDefault="00F23C5D">
            <w:r>
              <w:t>3-5 µm sections on slides</w:t>
            </w:r>
          </w:p>
        </w:tc>
      </w:tr>
      <w:tr w:rsidR="00F23C5D" w:rsidTr="00F23C5D">
        <w:trPr>
          <w:trHeight w:val="375"/>
          <w:tblCellSpacing w:w="15" w:type="dxa"/>
        </w:trPr>
        <w:tc>
          <w:tcPr>
            <w:tcW w:w="0" w:type="auto"/>
            <w:vAlign w:val="center"/>
            <w:hideMark/>
          </w:tcPr>
          <w:p w:rsidR="00F23C5D" w:rsidRDefault="00F23C5D">
            <w:r>
              <w:t>Sample container</w:t>
            </w:r>
          </w:p>
        </w:tc>
        <w:tc>
          <w:tcPr>
            <w:tcW w:w="0" w:type="auto"/>
            <w:vAlign w:val="center"/>
            <w:hideMark/>
          </w:tcPr>
          <w:p w:rsidR="00F23C5D" w:rsidRDefault="00F23C5D">
            <w:r>
              <w:t xml:space="preserve">Microwave-safe plastic </w:t>
            </w:r>
            <w:proofErr w:type="spellStart"/>
            <w:r>
              <w:t>coplin</w:t>
            </w:r>
            <w:proofErr w:type="spellEnd"/>
            <w:r>
              <w:t xml:space="preserve"> jars (Thermo-Shandon #1001361) and </w:t>
            </w:r>
            <w:proofErr w:type="spellStart"/>
            <w:r>
              <w:t>coverplate</w:t>
            </w:r>
            <w:proofErr w:type="spellEnd"/>
            <w:r>
              <w:t xml:space="preserve"> system or other microwave safe staining containers should be used. Place sample container on PELCO </w:t>
            </w:r>
            <w:proofErr w:type="spellStart"/>
            <w:r>
              <w:t>ColdSpot</w:t>
            </w:r>
            <w:proofErr w:type="spellEnd"/>
            <w:r>
              <w:t xml:space="preserve">®, and place temperature probe in right rear port of </w:t>
            </w:r>
            <w:proofErr w:type="spellStart"/>
            <w:r>
              <w:t>ColdSpot</w:t>
            </w:r>
            <w:proofErr w:type="spellEnd"/>
            <w:r>
              <w:t>.</w:t>
            </w:r>
          </w:p>
        </w:tc>
      </w:tr>
      <w:tr w:rsidR="00F23C5D" w:rsidTr="00F23C5D">
        <w:trPr>
          <w:trHeight w:val="375"/>
          <w:tblCellSpacing w:w="15" w:type="dxa"/>
        </w:trPr>
        <w:tc>
          <w:tcPr>
            <w:tcW w:w="0" w:type="auto"/>
            <w:vAlign w:val="center"/>
            <w:hideMark/>
          </w:tcPr>
          <w:p w:rsidR="00F23C5D" w:rsidRDefault="00F23C5D">
            <w:r>
              <w:t>Benefits</w:t>
            </w:r>
          </w:p>
        </w:tc>
        <w:tc>
          <w:tcPr>
            <w:tcW w:w="0" w:type="auto"/>
            <w:vAlign w:val="center"/>
            <w:hideMark/>
          </w:tcPr>
          <w:p w:rsidR="00F23C5D" w:rsidRDefault="00F23C5D">
            <w:r>
              <w:t xml:space="preserve">Compared to routine bench methods or an automated </w:t>
            </w:r>
            <w:proofErr w:type="spellStart"/>
            <w:r>
              <w:t>immunostainer</w:t>
            </w:r>
            <w:proofErr w:type="spellEnd"/>
            <w:r>
              <w:t xml:space="preserve"> the submitted microwave protocol reduces turnaround times by about 75% over either bench or automated methods. Also, background seems to be reduced by the use of the microwave when compared to the other two methods. </w:t>
            </w:r>
          </w:p>
        </w:tc>
      </w:tr>
      <w:tr w:rsidR="00F23C5D" w:rsidTr="00F23C5D">
        <w:trPr>
          <w:trHeight w:val="375"/>
          <w:tblCellSpacing w:w="15" w:type="dxa"/>
        </w:trPr>
        <w:tc>
          <w:tcPr>
            <w:tcW w:w="0" w:type="auto"/>
            <w:vAlign w:val="center"/>
            <w:hideMark/>
          </w:tcPr>
          <w:p w:rsidR="00F23C5D" w:rsidRDefault="00F23C5D">
            <w:r>
              <w:t>Cautions</w:t>
            </w:r>
          </w:p>
        </w:tc>
        <w:tc>
          <w:tcPr>
            <w:tcW w:w="0" w:type="auto"/>
            <w:vAlign w:val="center"/>
            <w:hideMark/>
          </w:tcPr>
          <w:p w:rsidR="00F23C5D" w:rsidRDefault="00F23C5D">
            <w:r>
              <w:t xml:space="preserve">The primary antibody dilution used in microwave staining may need to be more highly concentrated that what is used for bench protocols employing an overnight step or longer in primary antibody. We found that the dilution (1:800) used for an overnight labeling step for a primary antibody against vimentin required a 1:100 dilution to deliver the same results from a 6 minute microwave labeling step as the overnight step at 4°C. A 1:200 dilution used in the microwave produced a clearly negative result. All other antibody dilutions (secondary and tertiary) can be left alone and have always worked. We have had no problems with the primary antibody dilutions having incubation times of less than a few hours. </w:t>
            </w:r>
          </w:p>
        </w:tc>
      </w:tr>
      <w:tr w:rsidR="00F23C5D" w:rsidTr="00F23C5D">
        <w:trPr>
          <w:trHeight w:val="375"/>
          <w:tblCellSpacing w:w="15" w:type="dxa"/>
        </w:trPr>
        <w:tc>
          <w:tcPr>
            <w:tcW w:w="0" w:type="auto"/>
            <w:vAlign w:val="center"/>
            <w:hideMark/>
          </w:tcPr>
          <w:p w:rsidR="00F23C5D" w:rsidRDefault="00F23C5D">
            <w:r>
              <w:t>Note</w:t>
            </w:r>
          </w:p>
        </w:tc>
        <w:tc>
          <w:tcPr>
            <w:tcW w:w="0" w:type="auto"/>
            <w:vAlign w:val="center"/>
            <w:hideMark/>
          </w:tcPr>
          <w:p w:rsidR="00F23C5D" w:rsidRDefault="00F23C5D">
            <w:r>
              <w:t xml:space="preserve">Cut 1 slide for most antibodies and 2 slides if digestion is required, plus 1 additional slide for normal serum control. Frozen sections of fresh tissue and </w:t>
            </w:r>
            <w:proofErr w:type="spellStart"/>
            <w:r>
              <w:lastRenderedPageBreak/>
              <w:t>cytologic</w:t>
            </w:r>
            <w:proofErr w:type="spellEnd"/>
            <w:r>
              <w:t xml:space="preserve"> </w:t>
            </w:r>
            <w:proofErr w:type="spellStart"/>
            <w:r>
              <w:t>cyto</w:t>
            </w:r>
            <w:proofErr w:type="spellEnd"/>
            <w:r>
              <w:t>-spin preparations may be used if air dried for 48 hours followed by fixation in cold (4°C) acetone for 10 min.</w:t>
            </w:r>
          </w:p>
        </w:tc>
      </w:tr>
      <w:tr w:rsidR="00F23C5D" w:rsidTr="00F23C5D">
        <w:trPr>
          <w:trHeight w:val="375"/>
          <w:tblCellSpacing w:w="15" w:type="dxa"/>
        </w:trPr>
        <w:tc>
          <w:tcPr>
            <w:tcW w:w="0" w:type="auto"/>
            <w:vAlign w:val="center"/>
            <w:hideMark/>
          </w:tcPr>
          <w:p w:rsidR="00F23C5D" w:rsidRDefault="00F23C5D">
            <w:r>
              <w:lastRenderedPageBreak/>
              <w:t>Control</w:t>
            </w:r>
          </w:p>
        </w:tc>
        <w:tc>
          <w:tcPr>
            <w:tcW w:w="0" w:type="auto"/>
            <w:vAlign w:val="center"/>
            <w:hideMark/>
          </w:tcPr>
          <w:p w:rsidR="00F23C5D" w:rsidRDefault="00F23C5D">
            <w:r>
              <w:t xml:space="preserve">Known positive tissue (see data sheets supplied with specific primary antibodies for recommended controls), fixed like specimen and cut at 4 microns. Run a control slide with each stain batch. In addition stain an extra section of test tissue with normal serum (as a negative control) and stain positive control tissue with specific serum and normal serum. If negative, repeat procedure (check expiration dates of reagents). Protease or trypsin </w:t>
            </w:r>
            <w:proofErr w:type="spellStart"/>
            <w:r>
              <w:t>predigestion</w:t>
            </w:r>
            <w:proofErr w:type="spellEnd"/>
            <w:r>
              <w:t xml:space="preserve"> or Antigen Retrieval technique may be required.</w:t>
            </w:r>
          </w:p>
        </w:tc>
      </w:tr>
    </w:tbl>
    <w:p w:rsidR="00F23C5D" w:rsidRDefault="00F23C5D" w:rsidP="00F23C5D">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6"/>
        <w:gridCol w:w="4517"/>
        <w:gridCol w:w="1152"/>
        <w:gridCol w:w="1559"/>
        <w:gridCol w:w="1066"/>
      </w:tblGrid>
      <w:tr w:rsidR="00F23C5D" w:rsidTr="00F23C5D">
        <w:trPr>
          <w:trHeight w:val="420"/>
          <w:tblCellSpacing w:w="15" w:type="dxa"/>
        </w:trPr>
        <w:tc>
          <w:tcPr>
            <w:tcW w:w="500" w:type="pct"/>
            <w:vAlign w:val="center"/>
            <w:hideMark/>
          </w:tcPr>
          <w:p w:rsidR="00F23C5D" w:rsidRDefault="00F23C5D">
            <w:pPr>
              <w:jc w:val="center"/>
              <w:rPr>
                <w:b/>
                <w:bCs/>
              </w:rPr>
            </w:pPr>
            <w:r>
              <w:rPr>
                <w:b/>
                <w:bCs/>
              </w:rPr>
              <w:t>Step</w:t>
            </w:r>
          </w:p>
        </w:tc>
        <w:tc>
          <w:tcPr>
            <w:tcW w:w="2200" w:type="pct"/>
            <w:vAlign w:val="center"/>
            <w:hideMark/>
          </w:tcPr>
          <w:p w:rsidR="00F23C5D" w:rsidRDefault="00F23C5D">
            <w:pPr>
              <w:jc w:val="center"/>
              <w:rPr>
                <w:b/>
                <w:bCs/>
              </w:rPr>
            </w:pPr>
            <w:r>
              <w:rPr>
                <w:b/>
                <w:bCs/>
              </w:rPr>
              <w:t>Reagent</w:t>
            </w:r>
          </w:p>
        </w:tc>
        <w:tc>
          <w:tcPr>
            <w:tcW w:w="550" w:type="pct"/>
            <w:vAlign w:val="center"/>
            <w:hideMark/>
          </w:tcPr>
          <w:p w:rsidR="00F23C5D" w:rsidRDefault="00F23C5D">
            <w:pPr>
              <w:jc w:val="center"/>
              <w:rPr>
                <w:b/>
                <w:bCs/>
              </w:rPr>
            </w:pPr>
            <w:r>
              <w:rPr>
                <w:b/>
                <w:bCs/>
              </w:rPr>
              <w:t>Power</w:t>
            </w:r>
          </w:p>
        </w:tc>
        <w:tc>
          <w:tcPr>
            <w:tcW w:w="750" w:type="pct"/>
            <w:vAlign w:val="center"/>
            <w:hideMark/>
          </w:tcPr>
          <w:p w:rsidR="00F23C5D" w:rsidRDefault="00F23C5D">
            <w:pPr>
              <w:jc w:val="center"/>
              <w:rPr>
                <w:b/>
                <w:bCs/>
              </w:rPr>
            </w:pPr>
            <w:r>
              <w:rPr>
                <w:b/>
                <w:bCs/>
              </w:rPr>
              <w:t>Time</w:t>
            </w:r>
          </w:p>
        </w:tc>
        <w:tc>
          <w:tcPr>
            <w:tcW w:w="500" w:type="pct"/>
            <w:vAlign w:val="center"/>
            <w:hideMark/>
          </w:tcPr>
          <w:p w:rsidR="00F23C5D" w:rsidRDefault="00F23C5D">
            <w:pPr>
              <w:jc w:val="center"/>
              <w:rPr>
                <w:b/>
                <w:bCs/>
              </w:rPr>
            </w:pPr>
            <w:r>
              <w:rPr>
                <w:b/>
                <w:bCs/>
              </w:rPr>
              <w:t>TR</w:t>
            </w:r>
          </w:p>
        </w:tc>
      </w:tr>
      <w:tr w:rsidR="00F23C5D" w:rsidTr="00F23C5D">
        <w:trPr>
          <w:trHeight w:val="375"/>
          <w:tblCellSpacing w:w="15" w:type="dxa"/>
        </w:trPr>
        <w:tc>
          <w:tcPr>
            <w:tcW w:w="0" w:type="auto"/>
            <w:vAlign w:val="center"/>
            <w:hideMark/>
          </w:tcPr>
          <w:p w:rsidR="00F23C5D" w:rsidRDefault="00F23C5D">
            <w:r>
              <w:t>1</w:t>
            </w:r>
          </w:p>
        </w:tc>
        <w:tc>
          <w:tcPr>
            <w:tcW w:w="0" w:type="auto"/>
            <w:vAlign w:val="center"/>
            <w:hideMark/>
          </w:tcPr>
          <w:p w:rsidR="00F23C5D" w:rsidRDefault="00F23C5D">
            <w:r>
              <w:t xml:space="preserve">50 ml </w:t>
            </w:r>
            <w:proofErr w:type="spellStart"/>
            <w:r>
              <w:t>Coplin</w:t>
            </w:r>
            <w:proofErr w:type="spellEnd"/>
            <w:r>
              <w:t xml:space="preserve"> Jar, xylene</w:t>
            </w:r>
          </w:p>
        </w:tc>
        <w:tc>
          <w:tcPr>
            <w:tcW w:w="0" w:type="auto"/>
            <w:vAlign w:val="center"/>
            <w:hideMark/>
          </w:tcPr>
          <w:p w:rsidR="00F23C5D" w:rsidRDefault="00F23C5D">
            <w:r>
              <w:t>250 W</w:t>
            </w:r>
          </w:p>
        </w:tc>
        <w:tc>
          <w:tcPr>
            <w:tcW w:w="0" w:type="auto"/>
            <w:vAlign w:val="center"/>
            <w:hideMark/>
          </w:tcPr>
          <w:p w:rsidR="00F23C5D" w:rsidRDefault="00F23C5D">
            <w:r>
              <w:t>4 min</w:t>
            </w:r>
          </w:p>
        </w:tc>
        <w:tc>
          <w:tcPr>
            <w:tcW w:w="0" w:type="auto"/>
            <w:vAlign w:val="center"/>
            <w:hideMark/>
          </w:tcPr>
          <w:p w:rsidR="00F23C5D" w:rsidRDefault="00F23C5D">
            <w:r>
              <w:t>none</w:t>
            </w:r>
          </w:p>
        </w:tc>
      </w:tr>
      <w:tr w:rsidR="00F23C5D" w:rsidTr="00F23C5D">
        <w:trPr>
          <w:trHeight w:val="375"/>
          <w:tblCellSpacing w:w="15" w:type="dxa"/>
        </w:trPr>
        <w:tc>
          <w:tcPr>
            <w:tcW w:w="0" w:type="auto"/>
            <w:vAlign w:val="center"/>
            <w:hideMark/>
          </w:tcPr>
          <w:p w:rsidR="00F23C5D" w:rsidRDefault="00F23C5D">
            <w:r>
              <w:t>2</w:t>
            </w:r>
          </w:p>
        </w:tc>
        <w:tc>
          <w:tcPr>
            <w:tcW w:w="0" w:type="auto"/>
            <w:vAlign w:val="center"/>
            <w:hideMark/>
          </w:tcPr>
          <w:p w:rsidR="00F23C5D" w:rsidRDefault="00F23C5D">
            <w:r>
              <w:t xml:space="preserve">50 ml </w:t>
            </w:r>
            <w:proofErr w:type="spellStart"/>
            <w:r>
              <w:t>Coplin</w:t>
            </w:r>
            <w:proofErr w:type="spellEnd"/>
            <w:r>
              <w:t xml:space="preserve"> Jar, 95-100% ETOH</w:t>
            </w:r>
          </w:p>
        </w:tc>
        <w:tc>
          <w:tcPr>
            <w:tcW w:w="0" w:type="auto"/>
            <w:vAlign w:val="center"/>
            <w:hideMark/>
          </w:tcPr>
          <w:p w:rsidR="00F23C5D" w:rsidRDefault="00F23C5D">
            <w:r>
              <w:t>250 W</w:t>
            </w:r>
          </w:p>
        </w:tc>
        <w:tc>
          <w:tcPr>
            <w:tcW w:w="0" w:type="auto"/>
            <w:vAlign w:val="center"/>
            <w:hideMark/>
          </w:tcPr>
          <w:p w:rsidR="00F23C5D" w:rsidRDefault="00F23C5D">
            <w:r>
              <w:t>1 min</w:t>
            </w:r>
          </w:p>
        </w:tc>
        <w:tc>
          <w:tcPr>
            <w:tcW w:w="0" w:type="auto"/>
            <w:vAlign w:val="center"/>
            <w:hideMark/>
          </w:tcPr>
          <w:p w:rsidR="00F23C5D" w:rsidRDefault="00F23C5D">
            <w:r>
              <w:t>none</w:t>
            </w:r>
          </w:p>
        </w:tc>
      </w:tr>
      <w:tr w:rsidR="00F23C5D" w:rsidTr="00F23C5D">
        <w:trPr>
          <w:trHeight w:val="375"/>
          <w:tblCellSpacing w:w="15" w:type="dxa"/>
        </w:trPr>
        <w:tc>
          <w:tcPr>
            <w:tcW w:w="0" w:type="auto"/>
            <w:vAlign w:val="center"/>
            <w:hideMark/>
          </w:tcPr>
          <w:p w:rsidR="00F23C5D" w:rsidRDefault="00F23C5D">
            <w:r>
              <w:t>3</w:t>
            </w:r>
          </w:p>
        </w:tc>
        <w:tc>
          <w:tcPr>
            <w:tcW w:w="0" w:type="auto"/>
            <w:vAlign w:val="center"/>
            <w:hideMark/>
          </w:tcPr>
          <w:p w:rsidR="00F23C5D" w:rsidRDefault="00F23C5D">
            <w:r>
              <w:t xml:space="preserve">50 ml </w:t>
            </w:r>
            <w:proofErr w:type="spellStart"/>
            <w:r>
              <w:t>Coplin</w:t>
            </w:r>
            <w:proofErr w:type="spellEnd"/>
            <w:r>
              <w:t xml:space="preserve"> Jar, Wash in DI Water</w:t>
            </w:r>
          </w:p>
        </w:tc>
        <w:tc>
          <w:tcPr>
            <w:tcW w:w="0" w:type="auto"/>
            <w:vAlign w:val="center"/>
            <w:hideMark/>
          </w:tcPr>
          <w:p w:rsidR="00F23C5D" w:rsidRDefault="00F23C5D"/>
        </w:tc>
        <w:tc>
          <w:tcPr>
            <w:tcW w:w="0" w:type="auto"/>
            <w:vAlign w:val="center"/>
            <w:hideMark/>
          </w:tcPr>
          <w:p w:rsidR="00F23C5D" w:rsidRDefault="00F23C5D">
            <w:pPr>
              <w:rPr>
                <w:sz w:val="24"/>
                <w:szCs w:val="24"/>
              </w:rPr>
            </w:pPr>
            <w:r>
              <w:t>Bench step, 30 sec</w:t>
            </w:r>
          </w:p>
        </w:tc>
        <w:tc>
          <w:tcPr>
            <w:tcW w:w="0" w:type="auto"/>
            <w:vAlign w:val="center"/>
            <w:hideMark/>
          </w:tcPr>
          <w:p w:rsidR="00F23C5D" w:rsidRDefault="00F23C5D"/>
        </w:tc>
      </w:tr>
      <w:tr w:rsidR="00F23C5D" w:rsidTr="00F23C5D">
        <w:trPr>
          <w:trHeight w:val="375"/>
          <w:tblCellSpacing w:w="15" w:type="dxa"/>
        </w:trPr>
        <w:tc>
          <w:tcPr>
            <w:tcW w:w="0" w:type="auto"/>
            <w:vAlign w:val="center"/>
            <w:hideMark/>
          </w:tcPr>
          <w:p w:rsidR="00F23C5D" w:rsidRDefault="00F23C5D">
            <w:pPr>
              <w:rPr>
                <w:sz w:val="24"/>
                <w:szCs w:val="24"/>
              </w:rPr>
            </w:pPr>
            <w:r>
              <w:t>4</w:t>
            </w:r>
          </w:p>
        </w:tc>
        <w:tc>
          <w:tcPr>
            <w:tcW w:w="0" w:type="auto"/>
            <w:vAlign w:val="center"/>
            <w:hideMark/>
          </w:tcPr>
          <w:p w:rsidR="00F23C5D" w:rsidRDefault="00F23C5D">
            <w:r>
              <w:t>Antigen Retrieval (if required)</w:t>
            </w:r>
          </w:p>
        </w:tc>
        <w:tc>
          <w:tcPr>
            <w:tcW w:w="0" w:type="auto"/>
            <w:vAlign w:val="center"/>
            <w:hideMark/>
          </w:tcPr>
          <w:p w:rsidR="00F23C5D" w:rsidRDefault="00F23C5D"/>
        </w:tc>
        <w:tc>
          <w:tcPr>
            <w:tcW w:w="0" w:type="auto"/>
            <w:vAlign w:val="center"/>
            <w:hideMark/>
          </w:tcPr>
          <w:p w:rsidR="00F23C5D" w:rsidRDefault="00F23C5D">
            <w:pPr>
              <w:rPr>
                <w:sz w:val="24"/>
                <w:szCs w:val="24"/>
              </w:rPr>
            </w:pPr>
            <w:r>
              <w:t>No specific method is recommended</w:t>
            </w:r>
          </w:p>
        </w:tc>
        <w:tc>
          <w:tcPr>
            <w:tcW w:w="0" w:type="auto"/>
            <w:vAlign w:val="center"/>
            <w:hideMark/>
          </w:tcPr>
          <w:p w:rsidR="00F23C5D" w:rsidRDefault="00F23C5D"/>
        </w:tc>
      </w:tr>
      <w:tr w:rsidR="00F23C5D" w:rsidTr="00F23C5D">
        <w:trPr>
          <w:trHeight w:val="375"/>
          <w:tblCellSpacing w:w="15" w:type="dxa"/>
        </w:trPr>
        <w:tc>
          <w:tcPr>
            <w:tcW w:w="0" w:type="auto"/>
            <w:vAlign w:val="center"/>
            <w:hideMark/>
          </w:tcPr>
          <w:p w:rsidR="00F23C5D" w:rsidRDefault="00F23C5D">
            <w:pPr>
              <w:rPr>
                <w:sz w:val="24"/>
                <w:szCs w:val="24"/>
              </w:rPr>
            </w:pPr>
            <w:r>
              <w:t>5</w:t>
            </w:r>
          </w:p>
        </w:tc>
        <w:tc>
          <w:tcPr>
            <w:tcW w:w="0" w:type="auto"/>
            <w:vAlign w:val="center"/>
            <w:hideMark/>
          </w:tcPr>
          <w:p w:rsidR="00F23C5D" w:rsidRDefault="00F23C5D">
            <w:r>
              <w:t xml:space="preserve">Transfer slides to </w:t>
            </w:r>
            <w:proofErr w:type="spellStart"/>
            <w:r>
              <w:t>coverplate</w:t>
            </w:r>
            <w:proofErr w:type="spellEnd"/>
            <w:r>
              <w:t xml:space="preserve"> system (See Figure 1)</w:t>
            </w:r>
          </w:p>
        </w:tc>
        <w:tc>
          <w:tcPr>
            <w:tcW w:w="0" w:type="auto"/>
            <w:vAlign w:val="center"/>
            <w:hideMark/>
          </w:tcPr>
          <w:p w:rsidR="00F23C5D" w:rsidRDefault="00F23C5D"/>
        </w:tc>
        <w:tc>
          <w:tcPr>
            <w:tcW w:w="0" w:type="auto"/>
            <w:vAlign w:val="center"/>
            <w:hideMark/>
          </w:tcPr>
          <w:p w:rsidR="00F23C5D" w:rsidRDefault="00F23C5D">
            <w:pPr>
              <w:rPr>
                <w:sz w:val="20"/>
                <w:szCs w:val="20"/>
              </w:rPr>
            </w:pPr>
          </w:p>
        </w:tc>
        <w:tc>
          <w:tcPr>
            <w:tcW w:w="0" w:type="auto"/>
            <w:vAlign w:val="center"/>
            <w:hideMark/>
          </w:tcPr>
          <w:p w:rsidR="00F23C5D" w:rsidRDefault="00F23C5D">
            <w:pPr>
              <w:rPr>
                <w:sz w:val="20"/>
                <w:szCs w:val="20"/>
              </w:rPr>
            </w:pPr>
          </w:p>
        </w:tc>
      </w:tr>
      <w:tr w:rsidR="00F23C5D" w:rsidTr="00F23C5D">
        <w:trPr>
          <w:trHeight w:val="375"/>
          <w:tblCellSpacing w:w="15" w:type="dxa"/>
        </w:trPr>
        <w:tc>
          <w:tcPr>
            <w:tcW w:w="0" w:type="auto"/>
            <w:vAlign w:val="center"/>
            <w:hideMark/>
          </w:tcPr>
          <w:p w:rsidR="00F23C5D" w:rsidRDefault="00F23C5D">
            <w:pPr>
              <w:rPr>
                <w:sz w:val="24"/>
                <w:szCs w:val="24"/>
              </w:rPr>
            </w:pPr>
            <w:r>
              <w:t>6</w:t>
            </w:r>
          </w:p>
        </w:tc>
        <w:tc>
          <w:tcPr>
            <w:tcW w:w="0" w:type="auto"/>
            <w:vAlign w:val="center"/>
            <w:hideMark/>
          </w:tcPr>
          <w:p w:rsidR="00F23C5D" w:rsidRDefault="00F23C5D">
            <w:r>
              <w:t>Block Endogenous Peroxidase - 3 drops (˜ 100 µl)</w:t>
            </w:r>
          </w:p>
        </w:tc>
        <w:tc>
          <w:tcPr>
            <w:tcW w:w="0" w:type="auto"/>
            <w:vAlign w:val="center"/>
            <w:hideMark/>
          </w:tcPr>
          <w:p w:rsidR="00F23C5D" w:rsidRDefault="00F23C5D">
            <w:r>
              <w:t>250 W</w:t>
            </w:r>
          </w:p>
        </w:tc>
        <w:tc>
          <w:tcPr>
            <w:tcW w:w="0" w:type="auto"/>
            <w:vAlign w:val="center"/>
            <w:hideMark/>
          </w:tcPr>
          <w:p w:rsidR="00F23C5D" w:rsidRDefault="00F23C5D">
            <w:r>
              <w:t>1 min</w:t>
            </w:r>
          </w:p>
        </w:tc>
        <w:tc>
          <w:tcPr>
            <w:tcW w:w="0" w:type="auto"/>
            <w:vAlign w:val="center"/>
            <w:hideMark/>
          </w:tcPr>
          <w:p w:rsidR="00F23C5D" w:rsidRDefault="00F23C5D">
            <w:r>
              <w:t>none</w:t>
            </w:r>
          </w:p>
        </w:tc>
      </w:tr>
      <w:tr w:rsidR="00F23C5D" w:rsidTr="00F23C5D">
        <w:trPr>
          <w:trHeight w:val="375"/>
          <w:tblCellSpacing w:w="15" w:type="dxa"/>
        </w:trPr>
        <w:tc>
          <w:tcPr>
            <w:tcW w:w="0" w:type="auto"/>
            <w:vAlign w:val="center"/>
            <w:hideMark/>
          </w:tcPr>
          <w:p w:rsidR="00F23C5D" w:rsidRDefault="00F23C5D">
            <w:r>
              <w:t>7</w:t>
            </w:r>
          </w:p>
        </w:tc>
        <w:tc>
          <w:tcPr>
            <w:tcW w:w="0" w:type="auto"/>
            <w:vAlign w:val="center"/>
            <w:hideMark/>
          </w:tcPr>
          <w:p w:rsidR="00F23C5D" w:rsidRDefault="00F23C5D">
            <w:r>
              <w:t>Buffer rinse approx. 1 ml (1 to 3 x 1 min)</w:t>
            </w:r>
          </w:p>
        </w:tc>
        <w:tc>
          <w:tcPr>
            <w:tcW w:w="0" w:type="auto"/>
            <w:vAlign w:val="center"/>
            <w:hideMark/>
          </w:tcPr>
          <w:p w:rsidR="00F23C5D" w:rsidRDefault="00F23C5D">
            <w:r>
              <w:t>250 W</w:t>
            </w:r>
          </w:p>
        </w:tc>
        <w:tc>
          <w:tcPr>
            <w:tcW w:w="0" w:type="auto"/>
            <w:vAlign w:val="center"/>
            <w:hideMark/>
          </w:tcPr>
          <w:p w:rsidR="00F23C5D" w:rsidRDefault="00F23C5D">
            <w:r>
              <w:t>1 min</w:t>
            </w:r>
          </w:p>
        </w:tc>
        <w:tc>
          <w:tcPr>
            <w:tcW w:w="0" w:type="auto"/>
            <w:vAlign w:val="center"/>
            <w:hideMark/>
          </w:tcPr>
          <w:p w:rsidR="00F23C5D" w:rsidRDefault="00F23C5D">
            <w:r>
              <w:t>none</w:t>
            </w:r>
          </w:p>
        </w:tc>
      </w:tr>
      <w:tr w:rsidR="00F23C5D" w:rsidTr="00F23C5D">
        <w:trPr>
          <w:trHeight w:val="375"/>
          <w:tblCellSpacing w:w="15" w:type="dxa"/>
        </w:trPr>
        <w:tc>
          <w:tcPr>
            <w:tcW w:w="0" w:type="auto"/>
            <w:vAlign w:val="center"/>
            <w:hideMark/>
          </w:tcPr>
          <w:p w:rsidR="00F23C5D" w:rsidRDefault="00F23C5D">
            <w:r>
              <w:t>8</w:t>
            </w:r>
          </w:p>
        </w:tc>
        <w:tc>
          <w:tcPr>
            <w:tcW w:w="0" w:type="auto"/>
            <w:vAlign w:val="center"/>
            <w:hideMark/>
          </w:tcPr>
          <w:p w:rsidR="00F23C5D" w:rsidRDefault="00F23C5D">
            <w:r>
              <w:t>Blocking step - 3 drops to approx. 1 ml</w:t>
            </w:r>
          </w:p>
        </w:tc>
        <w:tc>
          <w:tcPr>
            <w:tcW w:w="0" w:type="auto"/>
            <w:vAlign w:val="center"/>
            <w:hideMark/>
          </w:tcPr>
          <w:p w:rsidR="00F23C5D" w:rsidRDefault="00F23C5D">
            <w:r>
              <w:t>250 W</w:t>
            </w:r>
          </w:p>
        </w:tc>
        <w:tc>
          <w:tcPr>
            <w:tcW w:w="0" w:type="auto"/>
            <w:vAlign w:val="center"/>
            <w:hideMark/>
          </w:tcPr>
          <w:p w:rsidR="00F23C5D" w:rsidRDefault="00F23C5D">
            <w:r>
              <w:t>1 min on, 1 min off, 1 min on</w:t>
            </w:r>
          </w:p>
        </w:tc>
        <w:tc>
          <w:tcPr>
            <w:tcW w:w="0" w:type="auto"/>
            <w:vAlign w:val="center"/>
            <w:hideMark/>
          </w:tcPr>
          <w:p w:rsidR="00F23C5D" w:rsidRDefault="00F23C5D">
            <w:r>
              <w:t>none</w:t>
            </w:r>
          </w:p>
        </w:tc>
      </w:tr>
      <w:tr w:rsidR="00F23C5D" w:rsidTr="00F23C5D">
        <w:trPr>
          <w:trHeight w:val="375"/>
          <w:tblCellSpacing w:w="15" w:type="dxa"/>
        </w:trPr>
        <w:tc>
          <w:tcPr>
            <w:tcW w:w="0" w:type="auto"/>
            <w:vAlign w:val="center"/>
            <w:hideMark/>
          </w:tcPr>
          <w:p w:rsidR="00F23C5D" w:rsidRDefault="00F23C5D">
            <w:r>
              <w:t>9</w:t>
            </w:r>
          </w:p>
        </w:tc>
        <w:tc>
          <w:tcPr>
            <w:tcW w:w="0" w:type="auto"/>
            <w:vAlign w:val="center"/>
            <w:hideMark/>
          </w:tcPr>
          <w:p w:rsidR="00F23C5D" w:rsidRDefault="00F23C5D">
            <w:r>
              <w:t>Primary antibody - 3 drops (approx. 100 µl)</w:t>
            </w:r>
          </w:p>
        </w:tc>
        <w:tc>
          <w:tcPr>
            <w:tcW w:w="0" w:type="auto"/>
            <w:vAlign w:val="center"/>
            <w:hideMark/>
          </w:tcPr>
          <w:p w:rsidR="00F23C5D" w:rsidRDefault="00F23C5D">
            <w:r>
              <w:t>250 W</w:t>
            </w:r>
          </w:p>
        </w:tc>
        <w:tc>
          <w:tcPr>
            <w:tcW w:w="0" w:type="auto"/>
            <w:vAlign w:val="center"/>
            <w:hideMark/>
          </w:tcPr>
          <w:p w:rsidR="00F23C5D" w:rsidRDefault="00F23C5D">
            <w:r>
              <w:t>2 min on, 2 min off, 2 min on</w:t>
            </w:r>
          </w:p>
        </w:tc>
        <w:tc>
          <w:tcPr>
            <w:tcW w:w="0" w:type="auto"/>
            <w:vAlign w:val="center"/>
            <w:hideMark/>
          </w:tcPr>
          <w:p w:rsidR="00F23C5D" w:rsidRDefault="00F23C5D">
            <w:r>
              <w:t>none</w:t>
            </w:r>
          </w:p>
        </w:tc>
      </w:tr>
      <w:tr w:rsidR="00F23C5D" w:rsidTr="00F23C5D">
        <w:trPr>
          <w:trHeight w:val="375"/>
          <w:tblCellSpacing w:w="15" w:type="dxa"/>
        </w:trPr>
        <w:tc>
          <w:tcPr>
            <w:tcW w:w="0" w:type="auto"/>
            <w:vAlign w:val="center"/>
            <w:hideMark/>
          </w:tcPr>
          <w:p w:rsidR="00F23C5D" w:rsidRDefault="00F23C5D">
            <w:r>
              <w:t>10</w:t>
            </w:r>
          </w:p>
        </w:tc>
        <w:tc>
          <w:tcPr>
            <w:tcW w:w="0" w:type="auto"/>
            <w:vAlign w:val="center"/>
            <w:hideMark/>
          </w:tcPr>
          <w:p w:rsidR="00F23C5D" w:rsidRDefault="00F23C5D">
            <w:r>
              <w:t>Buffer Rinse approx. 1 ml (1 to 3 x 1 min)</w:t>
            </w:r>
          </w:p>
        </w:tc>
        <w:tc>
          <w:tcPr>
            <w:tcW w:w="0" w:type="auto"/>
            <w:vAlign w:val="center"/>
            <w:hideMark/>
          </w:tcPr>
          <w:p w:rsidR="00F23C5D" w:rsidRDefault="00F23C5D">
            <w:r>
              <w:t>250 W</w:t>
            </w:r>
          </w:p>
        </w:tc>
        <w:tc>
          <w:tcPr>
            <w:tcW w:w="0" w:type="auto"/>
            <w:vAlign w:val="center"/>
            <w:hideMark/>
          </w:tcPr>
          <w:p w:rsidR="00F23C5D" w:rsidRDefault="00F23C5D">
            <w:r>
              <w:t>1 min</w:t>
            </w:r>
          </w:p>
        </w:tc>
        <w:tc>
          <w:tcPr>
            <w:tcW w:w="0" w:type="auto"/>
            <w:vAlign w:val="center"/>
            <w:hideMark/>
          </w:tcPr>
          <w:p w:rsidR="00F23C5D" w:rsidRDefault="00F23C5D">
            <w:r>
              <w:t>none</w:t>
            </w:r>
          </w:p>
        </w:tc>
      </w:tr>
      <w:tr w:rsidR="00F23C5D" w:rsidTr="00F23C5D">
        <w:trPr>
          <w:trHeight w:val="375"/>
          <w:tblCellSpacing w:w="15" w:type="dxa"/>
        </w:trPr>
        <w:tc>
          <w:tcPr>
            <w:tcW w:w="0" w:type="auto"/>
            <w:vAlign w:val="center"/>
            <w:hideMark/>
          </w:tcPr>
          <w:p w:rsidR="00F23C5D" w:rsidRDefault="00F23C5D">
            <w:r>
              <w:t>11</w:t>
            </w:r>
          </w:p>
        </w:tc>
        <w:tc>
          <w:tcPr>
            <w:tcW w:w="0" w:type="auto"/>
            <w:vAlign w:val="center"/>
            <w:hideMark/>
          </w:tcPr>
          <w:p w:rsidR="00F23C5D" w:rsidRDefault="00F23C5D">
            <w:r>
              <w:t>Secondary Antibody - 3 drops (approx. 100 µl)</w:t>
            </w:r>
          </w:p>
        </w:tc>
        <w:tc>
          <w:tcPr>
            <w:tcW w:w="0" w:type="auto"/>
            <w:vAlign w:val="center"/>
            <w:hideMark/>
          </w:tcPr>
          <w:p w:rsidR="00F23C5D" w:rsidRDefault="00F23C5D">
            <w:r>
              <w:t>250 W</w:t>
            </w:r>
          </w:p>
        </w:tc>
        <w:tc>
          <w:tcPr>
            <w:tcW w:w="0" w:type="auto"/>
            <w:vAlign w:val="center"/>
            <w:hideMark/>
          </w:tcPr>
          <w:p w:rsidR="00F23C5D" w:rsidRDefault="00F23C5D">
            <w:r>
              <w:t>2 min on, 2 min off, 2 min on</w:t>
            </w:r>
          </w:p>
        </w:tc>
        <w:tc>
          <w:tcPr>
            <w:tcW w:w="0" w:type="auto"/>
            <w:vAlign w:val="center"/>
            <w:hideMark/>
          </w:tcPr>
          <w:p w:rsidR="00F23C5D" w:rsidRDefault="00F23C5D">
            <w:r>
              <w:t>none</w:t>
            </w:r>
          </w:p>
        </w:tc>
      </w:tr>
      <w:tr w:rsidR="00F23C5D" w:rsidTr="00F23C5D">
        <w:trPr>
          <w:trHeight w:val="375"/>
          <w:tblCellSpacing w:w="15" w:type="dxa"/>
        </w:trPr>
        <w:tc>
          <w:tcPr>
            <w:tcW w:w="0" w:type="auto"/>
            <w:vAlign w:val="center"/>
            <w:hideMark/>
          </w:tcPr>
          <w:p w:rsidR="00F23C5D" w:rsidRDefault="00F23C5D">
            <w:r>
              <w:t>12</w:t>
            </w:r>
          </w:p>
        </w:tc>
        <w:tc>
          <w:tcPr>
            <w:tcW w:w="0" w:type="auto"/>
            <w:vAlign w:val="center"/>
            <w:hideMark/>
          </w:tcPr>
          <w:p w:rsidR="00F23C5D" w:rsidRDefault="00F23C5D">
            <w:r>
              <w:t>Buffer Rinse approx. 1 ml (1 to 3 x 1 min)</w:t>
            </w:r>
          </w:p>
        </w:tc>
        <w:tc>
          <w:tcPr>
            <w:tcW w:w="0" w:type="auto"/>
            <w:vAlign w:val="center"/>
            <w:hideMark/>
          </w:tcPr>
          <w:p w:rsidR="00F23C5D" w:rsidRDefault="00F23C5D">
            <w:r>
              <w:t>250 W</w:t>
            </w:r>
          </w:p>
        </w:tc>
        <w:tc>
          <w:tcPr>
            <w:tcW w:w="0" w:type="auto"/>
            <w:vAlign w:val="center"/>
            <w:hideMark/>
          </w:tcPr>
          <w:p w:rsidR="00F23C5D" w:rsidRDefault="00F23C5D">
            <w:r>
              <w:t>1 min</w:t>
            </w:r>
          </w:p>
        </w:tc>
        <w:tc>
          <w:tcPr>
            <w:tcW w:w="0" w:type="auto"/>
            <w:vAlign w:val="center"/>
            <w:hideMark/>
          </w:tcPr>
          <w:p w:rsidR="00F23C5D" w:rsidRDefault="00F23C5D">
            <w:r>
              <w:t>none</w:t>
            </w:r>
          </w:p>
        </w:tc>
      </w:tr>
      <w:tr w:rsidR="00F23C5D" w:rsidTr="00F23C5D">
        <w:trPr>
          <w:trHeight w:val="375"/>
          <w:tblCellSpacing w:w="15" w:type="dxa"/>
        </w:trPr>
        <w:tc>
          <w:tcPr>
            <w:tcW w:w="0" w:type="auto"/>
            <w:vAlign w:val="center"/>
            <w:hideMark/>
          </w:tcPr>
          <w:p w:rsidR="00F23C5D" w:rsidRDefault="00F23C5D">
            <w:r>
              <w:t>13</w:t>
            </w:r>
          </w:p>
        </w:tc>
        <w:tc>
          <w:tcPr>
            <w:tcW w:w="0" w:type="auto"/>
            <w:vAlign w:val="center"/>
            <w:hideMark/>
          </w:tcPr>
          <w:p w:rsidR="00F23C5D" w:rsidRDefault="00F23C5D">
            <w:r>
              <w:t>Tertiary Attachment - 3 drops (approx. 100 µl)</w:t>
            </w:r>
          </w:p>
        </w:tc>
        <w:tc>
          <w:tcPr>
            <w:tcW w:w="0" w:type="auto"/>
            <w:vAlign w:val="center"/>
            <w:hideMark/>
          </w:tcPr>
          <w:p w:rsidR="00F23C5D" w:rsidRDefault="00F23C5D">
            <w:r>
              <w:t>250 W</w:t>
            </w:r>
          </w:p>
        </w:tc>
        <w:tc>
          <w:tcPr>
            <w:tcW w:w="0" w:type="auto"/>
            <w:vAlign w:val="center"/>
            <w:hideMark/>
          </w:tcPr>
          <w:p w:rsidR="00F23C5D" w:rsidRDefault="00F23C5D">
            <w:r>
              <w:t>2 min on, 2 min off, 2 min on</w:t>
            </w:r>
          </w:p>
        </w:tc>
        <w:tc>
          <w:tcPr>
            <w:tcW w:w="0" w:type="auto"/>
            <w:vAlign w:val="center"/>
            <w:hideMark/>
          </w:tcPr>
          <w:p w:rsidR="00F23C5D" w:rsidRDefault="00F23C5D">
            <w:r>
              <w:t>none</w:t>
            </w:r>
          </w:p>
        </w:tc>
      </w:tr>
      <w:tr w:rsidR="00F23C5D" w:rsidTr="00F23C5D">
        <w:trPr>
          <w:trHeight w:val="375"/>
          <w:tblCellSpacing w:w="15" w:type="dxa"/>
        </w:trPr>
        <w:tc>
          <w:tcPr>
            <w:tcW w:w="0" w:type="auto"/>
            <w:vAlign w:val="center"/>
            <w:hideMark/>
          </w:tcPr>
          <w:p w:rsidR="00F23C5D" w:rsidRDefault="00F23C5D">
            <w:r>
              <w:lastRenderedPageBreak/>
              <w:t>14</w:t>
            </w:r>
          </w:p>
        </w:tc>
        <w:tc>
          <w:tcPr>
            <w:tcW w:w="0" w:type="auto"/>
            <w:vAlign w:val="center"/>
            <w:hideMark/>
          </w:tcPr>
          <w:p w:rsidR="00F23C5D" w:rsidRDefault="00F23C5D">
            <w:r>
              <w:t>Buffer Rinse approx. 1 ml (1 to 3 x 1 min)</w:t>
            </w:r>
          </w:p>
        </w:tc>
        <w:tc>
          <w:tcPr>
            <w:tcW w:w="0" w:type="auto"/>
            <w:vAlign w:val="center"/>
            <w:hideMark/>
          </w:tcPr>
          <w:p w:rsidR="00F23C5D" w:rsidRDefault="00F23C5D">
            <w:r>
              <w:t>250 W</w:t>
            </w:r>
          </w:p>
        </w:tc>
        <w:tc>
          <w:tcPr>
            <w:tcW w:w="0" w:type="auto"/>
            <w:vAlign w:val="center"/>
            <w:hideMark/>
          </w:tcPr>
          <w:p w:rsidR="00F23C5D" w:rsidRDefault="00F23C5D">
            <w:r>
              <w:t>1 min</w:t>
            </w:r>
          </w:p>
        </w:tc>
        <w:tc>
          <w:tcPr>
            <w:tcW w:w="0" w:type="auto"/>
            <w:vAlign w:val="center"/>
            <w:hideMark/>
          </w:tcPr>
          <w:p w:rsidR="00F23C5D" w:rsidRDefault="00F23C5D">
            <w:r>
              <w:t>none</w:t>
            </w:r>
          </w:p>
        </w:tc>
      </w:tr>
      <w:tr w:rsidR="00F23C5D" w:rsidTr="00F23C5D">
        <w:trPr>
          <w:trHeight w:val="375"/>
          <w:tblCellSpacing w:w="15" w:type="dxa"/>
        </w:trPr>
        <w:tc>
          <w:tcPr>
            <w:tcW w:w="0" w:type="auto"/>
            <w:vAlign w:val="center"/>
            <w:hideMark/>
          </w:tcPr>
          <w:p w:rsidR="00F23C5D" w:rsidRDefault="00F23C5D">
            <w:r>
              <w:t>15</w:t>
            </w:r>
          </w:p>
        </w:tc>
        <w:tc>
          <w:tcPr>
            <w:tcW w:w="0" w:type="auto"/>
            <w:vAlign w:val="center"/>
            <w:hideMark/>
          </w:tcPr>
          <w:p w:rsidR="00F23C5D" w:rsidRDefault="00F23C5D">
            <w:proofErr w:type="spellStart"/>
            <w:r>
              <w:t>Chromagen</w:t>
            </w:r>
            <w:proofErr w:type="spellEnd"/>
            <w:r>
              <w:t xml:space="preserve"> - 100 approx. 500 µl</w:t>
            </w:r>
          </w:p>
        </w:tc>
        <w:tc>
          <w:tcPr>
            <w:tcW w:w="0" w:type="auto"/>
            <w:vAlign w:val="center"/>
            <w:hideMark/>
          </w:tcPr>
          <w:p w:rsidR="00F23C5D" w:rsidRDefault="00F23C5D">
            <w:r>
              <w:t>250 W</w:t>
            </w:r>
          </w:p>
        </w:tc>
        <w:tc>
          <w:tcPr>
            <w:tcW w:w="0" w:type="auto"/>
            <w:vAlign w:val="center"/>
            <w:hideMark/>
          </w:tcPr>
          <w:p w:rsidR="00F23C5D" w:rsidRDefault="00F23C5D">
            <w:r>
              <w:t>1-6 min</w:t>
            </w:r>
          </w:p>
        </w:tc>
        <w:tc>
          <w:tcPr>
            <w:tcW w:w="0" w:type="auto"/>
            <w:vAlign w:val="center"/>
            <w:hideMark/>
          </w:tcPr>
          <w:p w:rsidR="00F23C5D" w:rsidRDefault="00F23C5D">
            <w:r>
              <w:t>none</w:t>
            </w:r>
          </w:p>
        </w:tc>
      </w:tr>
      <w:tr w:rsidR="00F23C5D" w:rsidTr="00F23C5D">
        <w:trPr>
          <w:trHeight w:val="375"/>
          <w:tblCellSpacing w:w="15" w:type="dxa"/>
        </w:trPr>
        <w:tc>
          <w:tcPr>
            <w:tcW w:w="0" w:type="auto"/>
            <w:vAlign w:val="center"/>
            <w:hideMark/>
          </w:tcPr>
          <w:p w:rsidR="00F23C5D" w:rsidRDefault="00F23C5D">
            <w:r>
              <w:t>16</w:t>
            </w:r>
          </w:p>
        </w:tc>
        <w:tc>
          <w:tcPr>
            <w:tcW w:w="0" w:type="auto"/>
            <w:vAlign w:val="center"/>
            <w:hideMark/>
          </w:tcPr>
          <w:p w:rsidR="00F23C5D" w:rsidRDefault="00F23C5D">
            <w:r>
              <w:t>Rinse in DI Water approx. 1 ml (1 to 3 x 1 min)</w:t>
            </w:r>
          </w:p>
        </w:tc>
        <w:tc>
          <w:tcPr>
            <w:tcW w:w="0" w:type="auto"/>
            <w:vAlign w:val="center"/>
            <w:hideMark/>
          </w:tcPr>
          <w:p w:rsidR="00F23C5D" w:rsidRDefault="00F23C5D">
            <w:r>
              <w:t>250 W</w:t>
            </w:r>
          </w:p>
        </w:tc>
        <w:tc>
          <w:tcPr>
            <w:tcW w:w="0" w:type="auto"/>
            <w:vAlign w:val="center"/>
            <w:hideMark/>
          </w:tcPr>
          <w:p w:rsidR="00F23C5D" w:rsidRDefault="00F23C5D">
            <w:r>
              <w:t>1 min</w:t>
            </w:r>
          </w:p>
        </w:tc>
        <w:tc>
          <w:tcPr>
            <w:tcW w:w="0" w:type="auto"/>
            <w:vAlign w:val="center"/>
            <w:hideMark/>
          </w:tcPr>
          <w:p w:rsidR="00F23C5D" w:rsidRDefault="00F23C5D">
            <w:r>
              <w:t>none</w:t>
            </w:r>
          </w:p>
        </w:tc>
      </w:tr>
      <w:tr w:rsidR="00F23C5D" w:rsidTr="00F23C5D">
        <w:trPr>
          <w:trHeight w:val="375"/>
          <w:tblCellSpacing w:w="15" w:type="dxa"/>
        </w:trPr>
        <w:tc>
          <w:tcPr>
            <w:tcW w:w="0" w:type="auto"/>
            <w:vAlign w:val="center"/>
            <w:hideMark/>
          </w:tcPr>
          <w:p w:rsidR="00F23C5D" w:rsidRDefault="00F23C5D">
            <w:r>
              <w:t>17</w:t>
            </w:r>
          </w:p>
        </w:tc>
        <w:tc>
          <w:tcPr>
            <w:tcW w:w="0" w:type="auto"/>
            <w:vAlign w:val="center"/>
            <w:hideMark/>
          </w:tcPr>
          <w:p w:rsidR="00F23C5D" w:rsidRDefault="00F23C5D">
            <w:r>
              <w:t>Counter Stain - 100 approx. 500 µl</w:t>
            </w:r>
          </w:p>
        </w:tc>
        <w:tc>
          <w:tcPr>
            <w:tcW w:w="0" w:type="auto"/>
            <w:vAlign w:val="center"/>
            <w:hideMark/>
          </w:tcPr>
          <w:p w:rsidR="00F23C5D" w:rsidRDefault="00F23C5D">
            <w:r>
              <w:t>250 W</w:t>
            </w:r>
          </w:p>
        </w:tc>
        <w:tc>
          <w:tcPr>
            <w:tcW w:w="0" w:type="auto"/>
            <w:vAlign w:val="center"/>
            <w:hideMark/>
          </w:tcPr>
          <w:p w:rsidR="00F23C5D" w:rsidRDefault="00F23C5D">
            <w:r>
              <w:t>1 min</w:t>
            </w:r>
          </w:p>
        </w:tc>
        <w:tc>
          <w:tcPr>
            <w:tcW w:w="0" w:type="auto"/>
            <w:vAlign w:val="center"/>
            <w:hideMark/>
          </w:tcPr>
          <w:p w:rsidR="00F23C5D" w:rsidRDefault="00F23C5D">
            <w:r>
              <w:t>none</w:t>
            </w:r>
          </w:p>
        </w:tc>
      </w:tr>
      <w:tr w:rsidR="00F23C5D" w:rsidTr="00F23C5D">
        <w:trPr>
          <w:trHeight w:val="375"/>
          <w:tblCellSpacing w:w="15" w:type="dxa"/>
        </w:trPr>
        <w:tc>
          <w:tcPr>
            <w:tcW w:w="0" w:type="auto"/>
            <w:vAlign w:val="center"/>
            <w:hideMark/>
          </w:tcPr>
          <w:p w:rsidR="00F23C5D" w:rsidRDefault="00F23C5D">
            <w:r>
              <w:t>18</w:t>
            </w:r>
          </w:p>
        </w:tc>
        <w:tc>
          <w:tcPr>
            <w:tcW w:w="0" w:type="auto"/>
            <w:vAlign w:val="center"/>
            <w:hideMark/>
          </w:tcPr>
          <w:p w:rsidR="00F23C5D" w:rsidRDefault="00F23C5D">
            <w:r>
              <w:t>Rinse in DI Water approx. 1 ml (1 to 3 x 1 min)</w:t>
            </w:r>
          </w:p>
        </w:tc>
        <w:tc>
          <w:tcPr>
            <w:tcW w:w="0" w:type="auto"/>
            <w:vAlign w:val="center"/>
            <w:hideMark/>
          </w:tcPr>
          <w:p w:rsidR="00F23C5D" w:rsidRDefault="00F23C5D">
            <w:r>
              <w:t>250 W</w:t>
            </w:r>
          </w:p>
        </w:tc>
        <w:tc>
          <w:tcPr>
            <w:tcW w:w="0" w:type="auto"/>
            <w:vAlign w:val="center"/>
            <w:hideMark/>
          </w:tcPr>
          <w:p w:rsidR="00F23C5D" w:rsidRDefault="00F23C5D">
            <w:r>
              <w:t>1 min</w:t>
            </w:r>
          </w:p>
        </w:tc>
        <w:tc>
          <w:tcPr>
            <w:tcW w:w="0" w:type="auto"/>
            <w:vAlign w:val="center"/>
            <w:hideMark/>
          </w:tcPr>
          <w:p w:rsidR="00F23C5D" w:rsidRDefault="00F23C5D">
            <w:r>
              <w:t>none</w:t>
            </w:r>
          </w:p>
        </w:tc>
      </w:tr>
      <w:tr w:rsidR="00F23C5D" w:rsidTr="00F23C5D">
        <w:trPr>
          <w:trHeight w:val="375"/>
          <w:tblCellSpacing w:w="15" w:type="dxa"/>
        </w:trPr>
        <w:tc>
          <w:tcPr>
            <w:tcW w:w="0" w:type="auto"/>
            <w:vAlign w:val="center"/>
            <w:hideMark/>
          </w:tcPr>
          <w:p w:rsidR="00F23C5D" w:rsidRDefault="00F23C5D">
            <w:r>
              <w:t>19</w:t>
            </w:r>
          </w:p>
        </w:tc>
        <w:tc>
          <w:tcPr>
            <w:tcW w:w="0" w:type="auto"/>
            <w:vAlign w:val="center"/>
            <w:hideMark/>
          </w:tcPr>
          <w:p w:rsidR="00F23C5D" w:rsidRDefault="00F23C5D">
            <w:r>
              <w:t xml:space="preserve">Remove Slides From </w:t>
            </w:r>
            <w:proofErr w:type="spellStart"/>
            <w:r>
              <w:t>Coverplate</w:t>
            </w:r>
            <w:proofErr w:type="spellEnd"/>
            <w:r>
              <w:t xml:space="preserve"> System</w:t>
            </w:r>
          </w:p>
        </w:tc>
        <w:tc>
          <w:tcPr>
            <w:tcW w:w="0" w:type="auto"/>
            <w:vAlign w:val="center"/>
            <w:hideMark/>
          </w:tcPr>
          <w:p w:rsidR="00F23C5D" w:rsidRDefault="00F23C5D">
            <w:r>
              <w:t>250 W</w:t>
            </w:r>
          </w:p>
        </w:tc>
        <w:tc>
          <w:tcPr>
            <w:tcW w:w="0" w:type="auto"/>
            <w:vAlign w:val="center"/>
            <w:hideMark/>
          </w:tcPr>
          <w:p w:rsidR="00F23C5D" w:rsidRDefault="00F23C5D">
            <w:r>
              <w:t>1 min</w:t>
            </w:r>
          </w:p>
        </w:tc>
        <w:tc>
          <w:tcPr>
            <w:tcW w:w="0" w:type="auto"/>
            <w:vAlign w:val="center"/>
            <w:hideMark/>
          </w:tcPr>
          <w:p w:rsidR="00F23C5D" w:rsidRDefault="00F23C5D">
            <w:r>
              <w:t>none</w:t>
            </w:r>
          </w:p>
        </w:tc>
      </w:tr>
      <w:tr w:rsidR="00F23C5D" w:rsidTr="00F23C5D">
        <w:trPr>
          <w:trHeight w:val="375"/>
          <w:tblCellSpacing w:w="15" w:type="dxa"/>
        </w:trPr>
        <w:tc>
          <w:tcPr>
            <w:tcW w:w="0" w:type="auto"/>
            <w:vAlign w:val="center"/>
            <w:hideMark/>
          </w:tcPr>
          <w:p w:rsidR="00F23C5D" w:rsidRDefault="00F23C5D">
            <w:r>
              <w:t>20</w:t>
            </w:r>
          </w:p>
        </w:tc>
        <w:tc>
          <w:tcPr>
            <w:tcW w:w="0" w:type="auto"/>
            <w:vAlign w:val="center"/>
            <w:hideMark/>
          </w:tcPr>
          <w:p w:rsidR="00F23C5D" w:rsidRDefault="00F23C5D">
            <w:r>
              <w:t>Mount Coverslip and View</w:t>
            </w:r>
          </w:p>
        </w:tc>
        <w:tc>
          <w:tcPr>
            <w:tcW w:w="0" w:type="auto"/>
            <w:vAlign w:val="center"/>
            <w:hideMark/>
          </w:tcPr>
          <w:p w:rsidR="00F23C5D" w:rsidRDefault="00F23C5D">
            <w:r>
              <w:t>250 W</w:t>
            </w:r>
          </w:p>
        </w:tc>
        <w:tc>
          <w:tcPr>
            <w:tcW w:w="0" w:type="auto"/>
            <w:vAlign w:val="center"/>
            <w:hideMark/>
          </w:tcPr>
          <w:p w:rsidR="00F23C5D" w:rsidRDefault="00F23C5D">
            <w:r>
              <w:t>1 min</w:t>
            </w:r>
          </w:p>
        </w:tc>
        <w:tc>
          <w:tcPr>
            <w:tcW w:w="0" w:type="auto"/>
            <w:vAlign w:val="center"/>
            <w:hideMark/>
          </w:tcPr>
          <w:p w:rsidR="00F23C5D" w:rsidRDefault="00F23C5D">
            <w:r>
              <w:t>none</w:t>
            </w:r>
          </w:p>
        </w:tc>
      </w:tr>
    </w:tbl>
    <w:p w:rsidR="00F23C5D" w:rsidRDefault="00F23C5D" w:rsidP="00F23C5D">
      <w:pPr>
        <w:pStyle w:val="NormalWeb"/>
      </w:pPr>
      <w:r>
        <w:t>TR = temperature restriction</w:t>
      </w:r>
    </w:p>
    <w:p w:rsidR="00F23C5D" w:rsidRDefault="00F23C5D" w:rsidP="00F23C5D">
      <w:pPr>
        <w:pStyle w:val="NormalWeb"/>
      </w:pPr>
      <w:r>
        <w:t xml:space="preserve">Place temperature probe in </w:t>
      </w:r>
      <w:proofErr w:type="spellStart"/>
      <w:r>
        <w:t>ColdSpot</w:t>
      </w:r>
      <w:proofErr w:type="spellEnd"/>
      <w:r>
        <w:t xml:space="preserve">® port when temperature restriction (TR) is "none" and set TR to &gt; 50°C. This modification was developed with a variable wattage, continuous power microwave oven fitted with a Cold Spot® to eliminate hot/cold spots. This procedure uses Shandon </w:t>
      </w:r>
      <w:proofErr w:type="spellStart"/>
      <w:r>
        <w:t>Immunon</w:t>
      </w:r>
      <w:proofErr w:type="spellEnd"/>
      <w:r>
        <w:t xml:space="preserve"> </w:t>
      </w:r>
      <w:proofErr w:type="spellStart"/>
      <w:r>
        <w:t>Sequenza</w:t>
      </w:r>
      <w:proofErr w:type="spellEnd"/>
      <w:r>
        <w:t xml:space="preserve"> </w:t>
      </w:r>
      <w:proofErr w:type="spellStart"/>
      <w:r>
        <w:t>Coverplate</w:t>
      </w:r>
      <w:proofErr w:type="spellEnd"/>
      <w:r>
        <w:t xml:space="preserve"> system (See attached illustrations on loading slides in clips). </w:t>
      </w:r>
    </w:p>
    <w:p w:rsidR="00F23C5D" w:rsidRDefault="00F23C5D" w:rsidP="00F23C5D">
      <w:r>
        <w:rPr>
          <w:noProof/>
          <w:lang w:eastAsia="en-CA"/>
        </w:rPr>
        <w:drawing>
          <wp:inline distT="0" distB="0" distL="0" distR="0">
            <wp:extent cx="1905000" cy="1190625"/>
            <wp:effectExtent l="0" t="0" r="0" b="9525"/>
            <wp:docPr id="3" name="Picture 3" descr="Front view of cover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ont view of coverpl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90625"/>
                    </a:xfrm>
                    <a:prstGeom prst="rect">
                      <a:avLst/>
                    </a:prstGeom>
                    <a:noFill/>
                    <a:ln>
                      <a:noFill/>
                    </a:ln>
                  </pic:spPr>
                </pic:pic>
              </a:graphicData>
            </a:graphic>
          </wp:inline>
        </w:drawing>
      </w:r>
    </w:p>
    <w:p w:rsidR="00F23C5D" w:rsidRDefault="00F23C5D" w:rsidP="00F23C5D">
      <w:pPr>
        <w:pStyle w:val="caption"/>
      </w:pPr>
      <w:r>
        <w:t xml:space="preserve">Figure 1a: Front view of </w:t>
      </w:r>
      <w:proofErr w:type="spellStart"/>
      <w:r>
        <w:t>coverplate</w:t>
      </w:r>
      <w:proofErr w:type="spellEnd"/>
      <w:r>
        <w:t xml:space="preserve"> that is placed on the glass slide to form a capillary gap for the staining reagents to flow through. The arrow indicates the notch in the front clip of the </w:t>
      </w:r>
      <w:proofErr w:type="spellStart"/>
      <w:r>
        <w:t>coverplate</w:t>
      </w:r>
      <w:proofErr w:type="spellEnd"/>
      <w:r>
        <w:t xml:space="preserve"> that connects with the tab in Fig 1c as shown by the arrow.</w:t>
      </w:r>
    </w:p>
    <w:p w:rsidR="00F23C5D" w:rsidRDefault="00F23C5D" w:rsidP="00F23C5D">
      <w:r>
        <w:br/>
      </w:r>
      <w:r>
        <w:rPr>
          <w:noProof/>
          <w:lang w:eastAsia="en-CA"/>
        </w:rPr>
        <w:drawing>
          <wp:inline distT="0" distB="0" distL="0" distR="0">
            <wp:extent cx="1676400" cy="1190625"/>
            <wp:effectExtent l="0" t="0" r="0" b="9525"/>
            <wp:docPr id="2" name="Picture 2" descr="Rear view of cover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ar view of coverpl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190625"/>
                    </a:xfrm>
                    <a:prstGeom prst="rect">
                      <a:avLst/>
                    </a:prstGeom>
                    <a:noFill/>
                    <a:ln>
                      <a:noFill/>
                    </a:ln>
                  </pic:spPr>
                </pic:pic>
              </a:graphicData>
            </a:graphic>
          </wp:inline>
        </w:drawing>
      </w:r>
    </w:p>
    <w:p w:rsidR="00F23C5D" w:rsidRDefault="00F23C5D" w:rsidP="00F23C5D">
      <w:pPr>
        <w:pStyle w:val="caption"/>
      </w:pPr>
      <w:r>
        <w:t xml:space="preserve">Figure 1b: Rear view of </w:t>
      </w:r>
      <w:proofErr w:type="spellStart"/>
      <w:r>
        <w:t>coverplate</w:t>
      </w:r>
      <w:proofErr w:type="spellEnd"/>
      <w:r>
        <w:t xml:space="preserve"> showing the tabs (marked with &lt;&lt; marks) that </w:t>
      </w:r>
      <w:proofErr w:type="spellStart"/>
      <w:r>
        <w:t>postion</w:t>
      </w:r>
      <w:proofErr w:type="spellEnd"/>
      <w:r>
        <w:t xml:space="preserve"> and hold the slide (tissue side down) in position prior to placing the complex into the cassette base.</w:t>
      </w:r>
    </w:p>
    <w:p w:rsidR="00F23C5D" w:rsidRDefault="00F23C5D" w:rsidP="00F23C5D">
      <w:r>
        <w:lastRenderedPageBreak/>
        <w:br/>
      </w:r>
      <w:r>
        <w:rPr>
          <w:noProof/>
          <w:lang w:eastAsia="en-CA"/>
        </w:rPr>
        <w:drawing>
          <wp:inline distT="0" distB="0" distL="0" distR="0">
            <wp:extent cx="2857500" cy="1590675"/>
            <wp:effectExtent l="0" t="0" r="0" b="9525"/>
            <wp:docPr id="1" name="Picture 1" descr="Cassette base - microwave holder for coverplate and 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ssette base - microwave holder for coverplate and sli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590675"/>
                    </a:xfrm>
                    <a:prstGeom prst="rect">
                      <a:avLst/>
                    </a:prstGeom>
                    <a:noFill/>
                    <a:ln>
                      <a:noFill/>
                    </a:ln>
                  </pic:spPr>
                </pic:pic>
              </a:graphicData>
            </a:graphic>
          </wp:inline>
        </w:drawing>
      </w:r>
    </w:p>
    <w:p w:rsidR="00F23C5D" w:rsidRDefault="00F23C5D" w:rsidP="00F23C5D">
      <w:pPr>
        <w:pStyle w:val="caption"/>
      </w:pPr>
      <w:r>
        <w:t xml:space="preserve">Figure 1c: Cassette base - microwave holder for </w:t>
      </w:r>
      <w:proofErr w:type="spellStart"/>
      <w:r>
        <w:t>coverplate</w:t>
      </w:r>
      <w:proofErr w:type="spellEnd"/>
      <w:r>
        <w:t xml:space="preserve"> and slide. The cassette base holds the </w:t>
      </w:r>
      <w:proofErr w:type="spellStart"/>
      <w:r>
        <w:t>coverplate</w:t>
      </w:r>
      <w:proofErr w:type="spellEnd"/>
      <w:r>
        <w:t xml:space="preserve"> and slide complex together to maintain the capillary gap during microwave. The lid is not needed for microwave protocols.</w:t>
      </w:r>
    </w:p>
    <w:p w:rsidR="00F23C5D" w:rsidRDefault="00F23C5D" w:rsidP="00F23C5D">
      <w:pPr>
        <w:pStyle w:val="NormalWeb"/>
      </w:pPr>
      <w:r>
        <w:t> </w:t>
      </w:r>
    </w:p>
    <w:p w:rsidR="00F23C5D" w:rsidRDefault="00F23C5D" w:rsidP="00F23C5D">
      <w:pPr>
        <w:pStyle w:val="Heading5"/>
      </w:pPr>
      <w:r>
        <w:t>Detailed reagent prep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F23C5D" w:rsidTr="00F23C5D">
        <w:trPr>
          <w:trHeight w:val="375"/>
          <w:tblCellSpacing w:w="15" w:type="dxa"/>
        </w:trPr>
        <w:tc>
          <w:tcPr>
            <w:tcW w:w="1000" w:type="pct"/>
            <w:vAlign w:val="center"/>
            <w:hideMark/>
          </w:tcPr>
          <w:p w:rsidR="00F23C5D" w:rsidRDefault="00F23C5D">
            <w:r>
              <w:t xml:space="preserve">Detection system </w:t>
            </w:r>
          </w:p>
        </w:tc>
        <w:tc>
          <w:tcPr>
            <w:tcW w:w="4000" w:type="pct"/>
            <w:vAlign w:val="center"/>
            <w:hideMark/>
          </w:tcPr>
          <w:p w:rsidR="00F23C5D" w:rsidRDefault="00F23C5D">
            <w:r>
              <w:t xml:space="preserve">Universal Streptavidin/Biotin Peroxidase. Bring all reagents to room temperature before use. </w:t>
            </w:r>
          </w:p>
        </w:tc>
      </w:tr>
      <w:tr w:rsidR="00F23C5D" w:rsidTr="00F23C5D">
        <w:trPr>
          <w:trHeight w:val="375"/>
          <w:tblCellSpacing w:w="15" w:type="dxa"/>
        </w:trPr>
        <w:tc>
          <w:tcPr>
            <w:tcW w:w="1000" w:type="pct"/>
            <w:vAlign w:val="center"/>
            <w:hideMark/>
          </w:tcPr>
          <w:p w:rsidR="00F23C5D" w:rsidRDefault="00F23C5D">
            <w:r>
              <w:t xml:space="preserve">Enzyme digestion solution </w:t>
            </w:r>
          </w:p>
        </w:tc>
        <w:tc>
          <w:tcPr>
            <w:tcW w:w="4000" w:type="pct"/>
            <w:vAlign w:val="center"/>
            <w:hideMark/>
          </w:tcPr>
          <w:p w:rsidR="00F23C5D" w:rsidRDefault="00F23C5D">
            <w:r>
              <w:t xml:space="preserve">Optional </w:t>
            </w:r>
          </w:p>
        </w:tc>
      </w:tr>
      <w:tr w:rsidR="00F23C5D" w:rsidTr="00F23C5D">
        <w:trPr>
          <w:trHeight w:val="375"/>
          <w:tblCellSpacing w:w="15" w:type="dxa"/>
        </w:trPr>
        <w:tc>
          <w:tcPr>
            <w:tcW w:w="1000" w:type="pct"/>
            <w:vAlign w:val="center"/>
            <w:hideMark/>
          </w:tcPr>
          <w:p w:rsidR="00F23C5D" w:rsidRDefault="00F23C5D">
            <w:r>
              <w:t xml:space="preserve">Counterstain </w:t>
            </w:r>
          </w:p>
        </w:tc>
        <w:tc>
          <w:tcPr>
            <w:tcW w:w="4000" w:type="pct"/>
            <w:vAlign w:val="center"/>
            <w:hideMark/>
          </w:tcPr>
          <w:p w:rsidR="00F23C5D" w:rsidRDefault="00F23C5D">
            <w:r>
              <w:t xml:space="preserve">Hematoxylin (Gill's #1) </w:t>
            </w:r>
          </w:p>
        </w:tc>
      </w:tr>
      <w:tr w:rsidR="00F23C5D" w:rsidTr="00F23C5D">
        <w:trPr>
          <w:trHeight w:val="375"/>
          <w:tblCellSpacing w:w="15" w:type="dxa"/>
        </w:trPr>
        <w:tc>
          <w:tcPr>
            <w:tcW w:w="1000" w:type="pct"/>
            <w:vAlign w:val="center"/>
            <w:hideMark/>
          </w:tcPr>
          <w:p w:rsidR="00F23C5D" w:rsidRDefault="00F23C5D">
            <w:r>
              <w:t xml:space="preserve">Mounting medium </w:t>
            </w:r>
          </w:p>
        </w:tc>
        <w:tc>
          <w:tcPr>
            <w:tcW w:w="4000" w:type="pct"/>
            <w:vAlign w:val="center"/>
            <w:hideMark/>
          </w:tcPr>
          <w:p w:rsidR="00F23C5D" w:rsidRDefault="00F23C5D">
            <w:r>
              <w:t xml:space="preserve">"Advantage", </w:t>
            </w:r>
            <w:proofErr w:type="spellStart"/>
            <w:r>
              <w:t>Innovex</w:t>
            </w:r>
            <w:proofErr w:type="spellEnd"/>
            <w:r>
              <w:t xml:space="preserve">/Biosciences #NB300 </w:t>
            </w:r>
          </w:p>
        </w:tc>
      </w:tr>
    </w:tbl>
    <w:p w:rsidR="00F23C5D" w:rsidRDefault="00F23C5D" w:rsidP="00F23C5D">
      <w:pPr>
        <w:pStyle w:val="Heading5"/>
      </w:pPr>
      <w:r>
        <w:t>Comments</w:t>
      </w:r>
    </w:p>
    <w:p w:rsidR="00F23C5D" w:rsidRDefault="00F23C5D" w:rsidP="00F23C5D">
      <w:pPr>
        <w:pStyle w:val="NormalWeb"/>
      </w:pPr>
      <w:r>
        <w:t xml:space="preserve">Paraffin-embedded sections are hydrated to water and treated with an endogenous peroxidase block and a protein blocking agent to reduce non-specific binding of antibodies. The tissues are then sequentially incubated with 1) primary antibody, which binds to specific tissue antigens; 2) secondary (link) antibody, which binds to the primary antibody; and 3) streptavidin-enzyme reagent (label), which links to the secondary antibody. The secondary antibody is polyvalent and universal and will bind to primary antibodies derived from rabbit, goat, mouse, guinea pig, sheep or rat. The secondary antibody is also conjugated with biotin. The third step uses streptavidin conjugated with horseradish peroxidase. The peroxidase then serves as the label. Addition of enzyme substrate and a chromogen (AEC) results in a colored precipitate at the sites of tissue antigen. Visualization is aided by counterstaining with hematoxylin. Microwaves cause most reactions and staining to proceed more quickly. </w:t>
      </w:r>
    </w:p>
    <w:p w:rsidR="00F23C5D" w:rsidRDefault="00F23C5D" w:rsidP="00F23C5D">
      <w:pPr>
        <w:pStyle w:val="Heading5"/>
      </w:pPr>
      <w:r>
        <w:t>Results</w:t>
      </w:r>
    </w:p>
    <w:p w:rsidR="00F23C5D" w:rsidRDefault="00F23C5D" w:rsidP="00F23C5D">
      <w:pPr>
        <w:pStyle w:val="NormalWeb"/>
      </w:pPr>
      <w:r>
        <w:lastRenderedPageBreak/>
        <w:t>A positive reaction is indicated by a colored precipitate at sites of specific cellular antigen localization. AEC will appear pink to reddish brown. Results should be interpreted in light of the appropriate staining of all positive and negative controls.</w:t>
      </w:r>
    </w:p>
    <w:p w:rsidR="00F23C5D" w:rsidRDefault="00F23C5D" w:rsidP="00F23C5D">
      <w:pPr>
        <w:pStyle w:val="Heading5"/>
      </w:pPr>
      <w:r>
        <w:t>References</w:t>
      </w:r>
    </w:p>
    <w:p w:rsidR="00F23C5D" w:rsidRDefault="00F23C5D" w:rsidP="00F23C5D">
      <w:pPr>
        <w:pStyle w:val="NormalWeb"/>
      </w:pPr>
      <w:proofErr w:type="spellStart"/>
      <w:r>
        <w:t>Lipshaw</w:t>
      </w:r>
      <w:proofErr w:type="spellEnd"/>
      <w:r>
        <w:t>/</w:t>
      </w:r>
      <w:proofErr w:type="spellStart"/>
      <w:r>
        <w:t>Immunon</w:t>
      </w:r>
      <w:proofErr w:type="spellEnd"/>
      <w:r>
        <w:t xml:space="preserve">, </w:t>
      </w:r>
      <w:proofErr w:type="spellStart"/>
      <w:r>
        <w:t>OmniTags</w:t>
      </w:r>
      <w:proofErr w:type="spellEnd"/>
      <w:r>
        <w:t xml:space="preserve"> Universal Streptavidin/Biotin Affinity Immunostaining Systems Instruction Manual, 11/92</w:t>
      </w:r>
    </w:p>
    <w:p w:rsidR="00F23C5D" w:rsidRDefault="00F23C5D" w:rsidP="00F23C5D">
      <w:pPr>
        <w:pStyle w:val="NormalWeb"/>
      </w:pPr>
      <w:r>
        <w:t>DAKO, LSAB2 System, Peroxidase, Universal, Instructions, 1993</w:t>
      </w:r>
    </w:p>
    <w:p w:rsidR="00F23C5D" w:rsidRDefault="00F23C5D" w:rsidP="00F23C5D">
      <w:pPr>
        <w:pStyle w:val="NormalWeb"/>
      </w:pPr>
      <w:proofErr w:type="spellStart"/>
      <w:r>
        <w:t>Carson</w:t>
      </w:r>
      <w:proofErr w:type="gramStart"/>
      <w:r>
        <w:t>,F.L</w:t>
      </w:r>
      <w:proofErr w:type="spellEnd"/>
      <w:proofErr w:type="gramEnd"/>
      <w:r>
        <w:t xml:space="preserve">., </w:t>
      </w:r>
      <w:proofErr w:type="spellStart"/>
      <w:r>
        <w:t>Histotechnology</w:t>
      </w:r>
      <w:proofErr w:type="spellEnd"/>
      <w:r>
        <w:t>: A Self-Instructional Text, ASCP Press, 1990, pg. 236</w:t>
      </w:r>
    </w:p>
    <w:p w:rsidR="00DF6BAE" w:rsidRPr="00F23C5D" w:rsidRDefault="00DF6BAE" w:rsidP="00F23C5D">
      <w:bookmarkStart w:id="1" w:name="_GoBack"/>
      <w:bookmarkEnd w:id="1"/>
    </w:p>
    <w:sectPr w:rsidR="00DF6BAE" w:rsidRPr="00F23C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ABA"/>
    <w:multiLevelType w:val="multilevel"/>
    <w:tmpl w:val="A856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B31DF"/>
    <w:multiLevelType w:val="multilevel"/>
    <w:tmpl w:val="F9780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318E8"/>
    <w:multiLevelType w:val="multilevel"/>
    <w:tmpl w:val="6A2C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F61E4"/>
    <w:multiLevelType w:val="multilevel"/>
    <w:tmpl w:val="895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144DB"/>
    <w:multiLevelType w:val="multilevel"/>
    <w:tmpl w:val="6D3E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05E9E"/>
    <w:multiLevelType w:val="multilevel"/>
    <w:tmpl w:val="2A74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508DA"/>
    <w:multiLevelType w:val="multilevel"/>
    <w:tmpl w:val="8DFE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F62839"/>
    <w:multiLevelType w:val="multilevel"/>
    <w:tmpl w:val="B0D20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9B47AD"/>
    <w:multiLevelType w:val="multilevel"/>
    <w:tmpl w:val="0B76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9483E"/>
    <w:multiLevelType w:val="multilevel"/>
    <w:tmpl w:val="597E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369E7"/>
    <w:multiLevelType w:val="multilevel"/>
    <w:tmpl w:val="2A0E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CA6C26"/>
    <w:multiLevelType w:val="multilevel"/>
    <w:tmpl w:val="5718A6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F2E76"/>
    <w:multiLevelType w:val="multilevel"/>
    <w:tmpl w:val="49E2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0B7CA0"/>
    <w:multiLevelType w:val="multilevel"/>
    <w:tmpl w:val="BBD0B83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FF00C4"/>
    <w:multiLevelType w:val="multilevel"/>
    <w:tmpl w:val="1BF0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2D0B95"/>
    <w:multiLevelType w:val="multilevel"/>
    <w:tmpl w:val="1A14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291FFE"/>
    <w:multiLevelType w:val="multilevel"/>
    <w:tmpl w:val="F2DE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7347A7"/>
    <w:multiLevelType w:val="multilevel"/>
    <w:tmpl w:val="16E0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083EC8"/>
    <w:multiLevelType w:val="multilevel"/>
    <w:tmpl w:val="748EF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5"/>
  </w:num>
  <w:num w:numId="5">
    <w:abstractNumId w:val="16"/>
  </w:num>
  <w:num w:numId="6">
    <w:abstractNumId w:val="13"/>
  </w:num>
  <w:num w:numId="7">
    <w:abstractNumId w:val="13"/>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18"/>
  </w:num>
  <w:num w:numId="9">
    <w:abstractNumId w:val="2"/>
  </w:num>
  <w:num w:numId="10">
    <w:abstractNumId w:val="0"/>
  </w:num>
  <w:num w:numId="11">
    <w:abstractNumId w:val="9"/>
  </w:num>
  <w:num w:numId="12">
    <w:abstractNumId w:val="1"/>
  </w:num>
  <w:num w:numId="13">
    <w:abstractNumId w:val="15"/>
  </w:num>
  <w:num w:numId="14">
    <w:abstractNumId w:val="4"/>
  </w:num>
  <w:num w:numId="15">
    <w:abstractNumId w:val="17"/>
  </w:num>
  <w:num w:numId="16">
    <w:abstractNumId w:val="8"/>
  </w:num>
  <w:num w:numId="17">
    <w:abstractNumId w:val="14"/>
  </w:num>
  <w:num w:numId="18">
    <w:abstractNumId w:val="10"/>
  </w:num>
  <w:num w:numId="19">
    <w:abstractNumId w:val="12"/>
  </w:num>
  <w:num w:numId="20">
    <w:abstractNumId w:val="11"/>
  </w:num>
  <w:num w:numId="21">
    <w:abstractNumId w:val="11"/>
    <w:lvlOverride w:ilvl="1">
      <w:lvl w:ilvl="1">
        <w:numFmt w:val="decimal"/>
        <w:lvlText w:val="%2."/>
        <w:lvlJc w:val="left"/>
      </w:lvl>
    </w:lvlOverride>
  </w:num>
  <w:num w:numId="22">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94"/>
    <w:rsid w:val="002636D3"/>
    <w:rsid w:val="004C122F"/>
    <w:rsid w:val="005C1C24"/>
    <w:rsid w:val="006205FD"/>
    <w:rsid w:val="008B2594"/>
    <w:rsid w:val="00B25A8C"/>
    <w:rsid w:val="00B45726"/>
    <w:rsid w:val="00D235BE"/>
    <w:rsid w:val="00D63524"/>
    <w:rsid w:val="00DF6BAE"/>
    <w:rsid w:val="00F23C5D"/>
    <w:rsid w:val="00FB00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5E38E-69E8-464A-B839-618B6D1F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B45726"/>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6D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5Char">
    <w:name w:val="Heading 5 Char"/>
    <w:basedOn w:val="DefaultParagraphFont"/>
    <w:link w:val="Heading5"/>
    <w:uiPriority w:val="9"/>
    <w:rsid w:val="00B45726"/>
    <w:rPr>
      <w:rFonts w:ascii="Times New Roman" w:eastAsia="Times New Roman" w:hAnsi="Times New Roman" w:cs="Times New Roman"/>
      <w:b/>
      <w:bCs/>
      <w:sz w:val="20"/>
      <w:szCs w:val="20"/>
      <w:lang w:eastAsia="en-CA"/>
    </w:rPr>
  </w:style>
  <w:style w:type="character" w:styleId="Hyperlink">
    <w:name w:val="Hyperlink"/>
    <w:basedOn w:val="DefaultParagraphFont"/>
    <w:uiPriority w:val="99"/>
    <w:semiHidden/>
    <w:unhideWhenUsed/>
    <w:rsid w:val="00B45726"/>
    <w:rPr>
      <w:color w:val="0000FF"/>
      <w:u w:val="single"/>
    </w:rPr>
  </w:style>
  <w:style w:type="paragraph" w:customStyle="1" w:styleId="Caption1">
    <w:name w:val="Caption1"/>
    <w:basedOn w:val="Normal"/>
    <w:rsid w:val="00B4572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aption">
    <w:name w:val="caption"/>
    <w:basedOn w:val="Normal"/>
    <w:rsid w:val="00F23C5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5293">
      <w:bodyDiv w:val="1"/>
      <w:marLeft w:val="0"/>
      <w:marRight w:val="0"/>
      <w:marTop w:val="0"/>
      <w:marBottom w:val="0"/>
      <w:divBdr>
        <w:top w:val="none" w:sz="0" w:space="0" w:color="auto"/>
        <w:left w:val="none" w:sz="0" w:space="0" w:color="auto"/>
        <w:bottom w:val="none" w:sz="0" w:space="0" w:color="auto"/>
        <w:right w:val="none" w:sz="0" w:space="0" w:color="auto"/>
      </w:divBdr>
    </w:div>
    <w:div w:id="377896452">
      <w:bodyDiv w:val="1"/>
      <w:marLeft w:val="0"/>
      <w:marRight w:val="0"/>
      <w:marTop w:val="0"/>
      <w:marBottom w:val="0"/>
      <w:divBdr>
        <w:top w:val="none" w:sz="0" w:space="0" w:color="auto"/>
        <w:left w:val="none" w:sz="0" w:space="0" w:color="auto"/>
        <w:bottom w:val="none" w:sz="0" w:space="0" w:color="auto"/>
        <w:right w:val="none" w:sz="0" w:space="0" w:color="auto"/>
      </w:divBdr>
      <w:divsChild>
        <w:div w:id="1195343107">
          <w:marLeft w:val="0"/>
          <w:marRight w:val="0"/>
          <w:marTop w:val="0"/>
          <w:marBottom w:val="0"/>
          <w:divBdr>
            <w:top w:val="none" w:sz="0" w:space="0" w:color="auto"/>
            <w:left w:val="none" w:sz="0" w:space="0" w:color="auto"/>
            <w:bottom w:val="none" w:sz="0" w:space="0" w:color="auto"/>
            <w:right w:val="none" w:sz="0" w:space="0" w:color="auto"/>
          </w:divBdr>
        </w:div>
      </w:divsChild>
    </w:div>
    <w:div w:id="398018891">
      <w:bodyDiv w:val="1"/>
      <w:marLeft w:val="0"/>
      <w:marRight w:val="0"/>
      <w:marTop w:val="0"/>
      <w:marBottom w:val="0"/>
      <w:divBdr>
        <w:top w:val="none" w:sz="0" w:space="0" w:color="auto"/>
        <w:left w:val="none" w:sz="0" w:space="0" w:color="auto"/>
        <w:bottom w:val="none" w:sz="0" w:space="0" w:color="auto"/>
        <w:right w:val="none" w:sz="0" w:space="0" w:color="auto"/>
      </w:divBdr>
      <w:divsChild>
        <w:div w:id="74328851">
          <w:marLeft w:val="0"/>
          <w:marRight w:val="0"/>
          <w:marTop w:val="0"/>
          <w:marBottom w:val="0"/>
          <w:divBdr>
            <w:top w:val="none" w:sz="0" w:space="0" w:color="auto"/>
            <w:left w:val="none" w:sz="0" w:space="0" w:color="auto"/>
            <w:bottom w:val="none" w:sz="0" w:space="0" w:color="auto"/>
            <w:right w:val="none" w:sz="0" w:space="0" w:color="auto"/>
          </w:divBdr>
        </w:div>
      </w:divsChild>
    </w:div>
    <w:div w:id="583032521">
      <w:bodyDiv w:val="1"/>
      <w:marLeft w:val="0"/>
      <w:marRight w:val="0"/>
      <w:marTop w:val="0"/>
      <w:marBottom w:val="0"/>
      <w:divBdr>
        <w:top w:val="none" w:sz="0" w:space="0" w:color="auto"/>
        <w:left w:val="none" w:sz="0" w:space="0" w:color="auto"/>
        <w:bottom w:val="none" w:sz="0" w:space="0" w:color="auto"/>
        <w:right w:val="none" w:sz="0" w:space="0" w:color="auto"/>
      </w:divBdr>
      <w:divsChild>
        <w:div w:id="797839145">
          <w:marLeft w:val="0"/>
          <w:marRight w:val="0"/>
          <w:marTop w:val="0"/>
          <w:marBottom w:val="0"/>
          <w:divBdr>
            <w:top w:val="none" w:sz="0" w:space="0" w:color="auto"/>
            <w:left w:val="none" w:sz="0" w:space="0" w:color="auto"/>
            <w:bottom w:val="none" w:sz="0" w:space="0" w:color="auto"/>
            <w:right w:val="none" w:sz="0" w:space="0" w:color="auto"/>
          </w:divBdr>
        </w:div>
      </w:divsChild>
    </w:div>
    <w:div w:id="1051033362">
      <w:bodyDiv w:val="1"/>
      <w:marLeft w:val="0"/>
      <w:marRight w:val="0"/>
      <w:marTop w:val="0"/>
      <w:marBottom w:val="0"/>
      <w:divBdr>
        <w:top w:val="none" w:sz="0" w:space="0" w:color="auto"/>
        <w:left w:val="none" w:sz="0" w:space="0" w:color="auto"/>
        <w:bottom w:val="none" w:sz="0" w:space="0" w:color="auto"/>
        <w:right w:val="none" w:sz="0" w:space="0" w:color="auto"/>
      </w:divBdr>
      <w:divsChild>
        <w:div w:id="1404915432">
          <w:marLeft w:val="0"/>
          <w:marRight w:val="0"/>
          <w:marTop w:val="0"/>
          <w:marBottom w:val="0"/>
          <w:divBdr>
            <w:top w:val="none" w:sz="0" w:space="0" w:color="auto"/>
            <w:left w:val="none" w:sz="0" w:space="0" w:color="auto"/>
            <w:bottom w:val="none" w:sz="0" w:space="0" w:color="auto"/>
            <w:right w:val="none" w:sz="0" w:space="0" w:color="auto"/>
          </w:divBdr>
        </w:div>
      </w:divsChild>
    </w:div>
    <w:div w:id="1143742081">
      <w:bodyDiv w:val="1"/>
      <w:marLeft w:val="0"/>
      <w:marRight w:val="0"/>
      <w:marTop w:val="0"/>
      <w:marBottom w:val="0"/>
      <w:divBdr>
        <w:top w:val="none" w:sz="0" w:space="0" w:color="auto"/>
        <w:left w:val="none" w:sz="0" w:space="0" w:color="auto"/>
        <w:bottom w:val="none" w:sz="0" w:space="0" w:color="auto"/>
        <w:right w:val="none" w:sz="0" w:space="0" w:color="auto"/>
      </w:divBdr>
    </w:div>
    <w:div w:id="1245141181">
      <w:bodyDiv w:val="1"/>
      <w:marLeft w:val="0"/>
      <w:marRight w:val="0"/>
      <w:marTop w:val="0"/>
      <w:marBottom w:val="0"/>
      <w:divBdr>
        <w:top w:val="none" w:sz="0" w:space="0" w:color="auto"/>
        <w:left w:val="none" w:sz="0" w:space="0" w:color="auto"/>
        <w:bottom w:val="none" w:sz="0" w:space="0" w:color="auto"/>
        <w:right w:val="none" w:sz="0" w:space="0" w:color="auto"/>
      </w:divBdr>
      <w:divsChild>
        <w:div w:id="250741789">
          <w:marLeft w:val="0"/>
          <w:marRight w:val="0"/>
          <w:marTop w:val="0"/>
          <w:marBottom w:val="0"/>
          <w:divBdr>
            <w:top w:val="none" w:sz="0" w:space="0" w:color="auto"/>
            <w:left w:val="none" w:sz="0" w:space="0" w:color="auto"/>
            <w:bottom w:val="none" w:sz="0" w:space="0" w:color="auto"/>
            <w:right w:val="none" w:sz="0" w:space="0" w:color="auto"/>
          </w:divBdr>
        </w:div>
      </w:divsChild>
    </w:div>
    <w:div w:id="1425609113">
      <w:bodyDiv w:val="1"/>
      <w:marLeft w:val="0"/>
      <w:marRight w:val="0"/>
      <w:marTop w:val="0"/>
      <w:marBottom w:val="0"/>
      <w:divBdr>
        <w:top w:val="none" w:sz="0" w:space="0" w:color="auto"/>
        <w:left w:val="none" w:sz="0" w:space="0" w:color="auto"/>
        <w:bottom w:val="none" w:sz="0" w:space="0" w:color="auto"/>
        <w:right w:val="none" w:sz="0" w:space="0" w:color="auto"/>
      </w:divBdr>
      <w:divsChild>
        <w:div w:id="1594171046">
          <w:marLeft w:val="0"/>
          <w:marRight w:val="0"/>
          <w:marTop w:val="0"/>
          <w:marBottom w:val="0"/>
          <w:divBdr>
            <w:top w:val="none" w:sz="0" w:space="0" w:color="auto"/>
            <w:left w:val="none" w:sz="0" w:space="0" w:color="auto"/>
            <w:bottom w:val="none" w:sz="0" w:space="0" w:color="auto"/>
            <w:right w:val="none" w:sz="0" w:space="0" w:color="auto"/>
          </w:divBdr>
        </w:div>
      </w:divsChild>
    </w:div>
    <w:div w:id="1531726291">
      <w:bodyDiv w:val="1"/>
      <w:marLeft w:val="0"/>
      <w:marRight w:val="0"/>
      <w:marTop w:val="0"/>
      <w:marBottom w:val="0"/>
      <w:divBdr>
        <w:top w:val="none" w:sz="0" w:space="0" w:color="auto"/>
        <w:left w:val="none" w:sz="0" w:space="0" w:color="auto"/>
        <w:bottom w:val="none" w:sz="0" w:space="0" w:color="auto"/>
        <w:right w:val="none" w:sz="0" w:space="0" w:color="auto"/>
      </w:divBdr>
      <w:divsChild>
        <w:div w:id="1026563326">
          <w:marLeft w:val="0"/>
          <w:marRight w:val="0"/>
          <w:marTop w:val="0"/>
          <w:marBottom w:val="0"/>
          <w:divBdr>
            <w:top w:val="none" w:sz="0" w:space="0" w:color="auto"/>
            <w:left w:val="none" w:sz="0" w:space="0" w:color="auto"/>
            <w:bottom w:val="none" w:sz="0" w:space="0" w:color="auto"/>
            <w:right w:val="none" w:sz="0" w:space="0" w:color="auto"/>
          </w:divBdr>
        </w:div>
      </w:divsChild>
    </w:div>
    <w:div w:id="1573350999">
      <w:bodyDiv w:val="1"/>
      <w:marLeft w:val="0"/>
      <w:marRight w:val="0"/>
      <w:marTop w:val="0"/>
      <w:marBottom w:val="0"/>
      <w:divBdr>
        <w:top w:val="none" w:sz="0" w:space="0" w:color="auto"/>
        <w:left w:val="none" w:sz="0" w:space="0" w:color="auto"/>
        <w:bottom w:val="none" w:sz="0" w:space="0" w:color="auto"/>
        <w:right w:val="none" w:sz="0" w:space="0" w:color="auto"/>
      </w:divBdr>
    </w:div>
    <w:div w:id="1635137574">
      <w:bodyDiv w:val="1"/>
      <w:marLeft w:val="0"/>
      <w:marRight w:val="0"/>
      <w:marTop w:val="0"/>
      <w:marBottom w:val="0"/>
      <w:divBdr>
        <w:top w:val="none" w:sz="0" w:space="0" w:color="auto"/>
        <w:left w:val="none" w:sz="0" w:space="0" w:color="auto"/>
        <w:bottom w:val="none" w:sz="0" w:space="0" w:color="auto"/>
        <w:right w:val="none" w:sz="0" w:space="0" w:color="auto"/>
      </w:divBdr>
      <w:divsChild>
        <w:div w:id="919024593">
          <w:marLeft w:val="0"/>
          <w:marRight w:val="0"/>
          <w:marTop w:val="0"/>
          <w:marBottom w:val="0"/>
          <w:divBdr>
            <w:top w:val="none" w:sz="0" w:space="0" w:color="auto"/>
            <w:left w:val="none" w:sz="0" w:space="0" w:color="auto"/>
            <w:bottom w:val="none" w:sz="0" w:space="0" w:color="auto"/>
            <w:right w:val="none" w:sz="0" w:space="0" w:color="auto"/>
          </w:divBdr>
        </w:div>
      </w:divsChild>
    </w:div>
    <w:div w:id="1652367729">
      <w:bodyDiv w:val="1"/>
      <w:marLeft w:val="0"/>
      <w:marRight w:val="0"/>
      <w:marTop w:val="0"/>
      <w:marBottom w:val="0"/>
      <w:divBdr>
        <w:top w:val="none" w:sz="0" w:space="0" w:color="auto"/>
        <w:left w:val="none" w:sz="0" w:space="0" w:color="auto"/>
        <w:bottom w:val="none" w:sz="0" w:space="0" w:color="auto"/>
        <w:right w:val="none" w:sz="0" w:space="0" w:color="auto"/>
      </w:divBdr>
      <w:divsChild>
        <w:div w:id="1527476324">
          <w:marLeft w:val="0"/>
          <w:marRight w:val="0"/>
          <w:marTop w:val="0"/>
          <w:marBottom w:val="0"/>
          <w:divBdr>
            <w:top w:val="none" w:sz="0" w:space="0" w:color="auto"/>
            <w:left w:val="none" w:sz="0" w:space="0" w:color="auto"/>
            <w:bottom w:val="none" w:sz="0" w:space="0" w:color="auto"/>
            <w:right w:val="none" w:sz="0" w:space="0" w:color="auto"/>
          </w:divBdr>
        </w:div>
      </w:divsChild>
    </w:div>
    <w:div w:id="1655060837">
      <w:bodyDiv w:val="1"/>
      <w:marLeft w:val="0"/>
      <w:marRight w:val="0"/>
      <w:marTop w:val="0"/>
      <w:marBottom w:val="0"/>
      <w:divBdr>
        <w:top w:val="none" w:sz="0" w:space="0" w:color="auto"/>
        <w:left w:val="none" w:sz="0" w:space="0" w:color="auto"/>
        <w:bottom w:val="none" w:sz="0" w:space="0" w:color="auto"/>
        <w:right w:val="none" w:sz="0" w:space="0" w:color="auto"/>
      </w:divBdr>
    </w:div>
    <w:div w:id="2044861637">
      <w:bodyDiv w:val="1"/>
      <w:marLeft w:val="0"/>
      <w:marRight w:val="0"/>
      <w:marTop w:val="0"/>
      <w:marBottom w:val="0"/>
      <w:divBdr>
        <w:top w:val="none" w:sz="0" w:space="0" w:color="auto"/>
        <w:left w:val="none" w:sz="0" w:space="0" w:color="auto"/>
        <w:bottom w:val="none" w:sz="0" w:space="0" w:color="auto"/>
        <w:right w:val="none" w:sz="0" w:space="0" w:color="auto"/>
      </w:divBdr>
      <w:divsChild>
        <w:div w:id="1255556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edpell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k_giberson@tedpella.com" TargetMode="External"/><Relationship Id="rId11" Type="http://schemas.openxmlformats.org/officeDocument/2006/relationships/fontTable" Target="fontTable.xml"/><Relationship Id="rId5" Type="http://schemas.openxmlformats.org/officeDocument/2006/relationships/hyperlink" Target="http://stehm.uvic.ca/docs/prep/microwave/protocols.php"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Stefanor</dc:creator>
  <cp:keywords/>
  <dc:description/>
  <cp:lastModifiedBy>Stefanor</cp:lastModifiedBy>
  <cp:revision>2</cp:revision>
  <cp:lastPrinted>2016-01-26T00:45:00Z</cp:lastPrinted>
  <dcterms:created xsi:type="dcterms:W3CDTF">2016-01-26T01:09:00Z</dcterms:created>
  <dcterms:modified xsi:type="dcterms:W3CDTF">2016-01-26T01:09:00Z</dcterms:modified>
</cp:coreProperties>
</file>